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0288" w14:textId="77777777" w:rsidR="00A1563B" w:rsidRDefault="00A1563B" w:rsidP="00172ADA">
      <w:pPr>
        <w:jc w:val="right"/>
        <w:rPr>
          <w:rFonts w:ascii="Arial" w:hAnsi="Arial" w:cs="Arial"/>
          <w:sz w:val="24"/>
          <w:szCs w:val="24"/>
        </w:rPr>
      </w:pPr>
    </w:p>
    <w:p w14:paraId="7EA5A4E7" w14:textId="287D26DC" w:rsidR="00A1563B" w:rsidRDefault="00A1563B" w:rsidP="00172ADA">
      <w:pPr>
        <w:jc w:val="right"/>
        <w:rPr>
          <w:rFonts w:ascii="Arial" w:hAnsi="Arial" w:cs="Arial"/>
          <w:sz w:val="24"/>
          <w:szCs w:val="24"/>
        </w:rPr>
      </w:pPr>
      <w:r>
        <w:rPr>
          <w:noProof/>
          <w:lang w:eastAsia="en-GB"/>
        </w:rPr>
        <w:drawing>
          <wp:inline distT="0" distB="0" distL="0" distR="0" wp14:anchorId="6448A12F" wp14:editId="515C6B0E">
            <wp:extent cx="1893040" cy="1110530"/>
            <wp:effectExtent l="0" t="0" r="0" b="0"/>
            <wp:docPr id="544550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3040" cy="1110530"/>
                    </a:xfrm>
                    <a:prstGeom prst="rect">
                      <a:avLst/>
                    </a:prstGeom>
                  </pic:spPr>
                </pic:pic>
              </a:graphicData>
            </a:graphic>
          </wp:inline>
        </w:drawing>
      </w:r>
    </w:p>
    <w:p w14:paraId="23A2F90C" w14:textId="2418AB33" w:rsidR="00A1563B" w:rsidRDefault="00A1563B" w:rsidP="00172ADA">
      <w:pPr>
        <w:jc w:val="right"/>
        <w:rPr>
          <w:rFonts w:ascii="Arial" w:hAnsi="Arial" w:cs="Arial"/>
          <w:sz w:val="24"/>
          <w:szCs w:val="24"/>
        </w:rPr>
      </w:pPr>
    </w:p>
    <w:p w14:paraId="21980FCB" w14:textId="6356C6B0" w:rsidR="00172ADA" w:rsidRPr="00172ADA" w:rsidRDefault="00172ADA" w:rsidP="00172ADA">
      <w:pPr>
        <w:jc w:val="right"/>
        <w:rPr>
          <w:rFonts w:ascii="Arial" w:hAnsi="Arial" w:cs="Arial"/>
          <w:sz w:val="24"/>
          <w:szCs w:val="24"/>
        </w:rPr>
      </w:pPr>
    </w:p>
    <w:tbl>
      <w:tblPr>
        <w:tblW w:w="8240" w:type="dxa"/>
        <w:jc w:val="center"/>
        <w:tblLook w:val="04A0" w:firstRow="1" w:lastRow="0" w:firstColumn="1" w:lastColumn="0" w:noHBand="0" w:noVBand="1"/>
      </w:tblPr>
      <w:tblGrid>
        <w:gridCol w:w="2689"/>
        <w:gridCol w:w="5551"/>
      </w:tblGrid>
      <w:tr w:rsidR="00172ADA" w:rsidRPr="00172ADA" w14:paraId="3ABB03EF" w14:textId="77777777" w:rsidTr="00E265AE">
        <w:trPr>
          <w:trHeight w:val="992"/>
          <w:jc w:val="center"/>
        </w:trPr>
        <w:tc>
          <w:tcPr>
            <w:tcW w:w="268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1A29465" w14:textId="77777777" w:rsidR="0053640C" w:rsidRPr="00172ADA" w:rsidRDefault="00172ADA" w:rsidP="0053640C">
            <w:pPr>
              <w:rPr>
                <w:rFonts w:ascii="Arial" w:hAnsi="Arial" w:cs="Arial"/>
                <w:b/>
                <w:bCs/>
                <w:color w:val="000000"/>
                <w:sz w:val="24"/>
                <w:szCs w:val="24"/>
              </w:rPr>
            </w:pPr>
            <w:r w:rsidRPr="00172ADA">
              <w:rPr>
                <w:rFonts w:ascii="Arial" w:hAnsi="Arial" w:cs="Arial"/>
                <w:b/>
                <w:bCs/>
                <w:color w:val="000000"/>
                <w:sz w:val="24"/>
                <w:szCs w:val="24"/>
              </w:rPr>
              <w:t>Policy Name</w:t>
            </w:r>
          </w:p>
        </w:tc>
        <w:tc>
          <w:tcPr>
            <w:tcW w:w="5551" w:type="dxa"/>
            <w:tcBorders>
              <w:top w:val="single" w:sz="4" w:space="0" w:color="auto"/>
              <w:left w:val="nil"/>
              <w:bottom w:val="double" w:sz="6" w:space="0" w:color="auto"/>
              <w:right w:val="single" w:sz="4" w:space="0" w:color="auto"/>
            </w:tcBorders>
            <w:shd w:val="clear" w:color="auto" w:fill="auto"/>
            <w:noWrap/>
            <w:vAlign w:val="center"/>
            <w:hideMark/>
          </w:tcPr>
          <w:p w14:paraId="37EE6F75" w14:textId="77777777" w:rsidR="0053640C" w:rsidRPr="009C6285" w:rsidRDefault="00172ADA" w:rsidP="0053640C">
            <w:pPr>
              <w:rPr>
                <w:rFonts w:ascii="Arial" w:hAnsi="Arial" w:cs="Arial"/>
                <w:sz w:val="24"/>
                <w:szCs w:val="24"/>
                <w:lang w:val="en-AU"/>
              </w:rPr>
            </w:pPr>
            <w:r w:rsidRPr="009C6285">
              <w:rPr>
                <w:rFonts w:ascii="Arial" w:hAnsi="Arial" w:cs="Arial"/>
                <w:sz w:val="24"/>
                <w:szCs w:val="24"/>
                <w:lang w:val="en-AU"/>
              </w:rPr>
              <w:t>Sub-contracting (Fees and Charges) Policy</w:t>
            </w:r>
          </w:p>
          <w:p w14:paraId="5136B498" w14:textId="77777777" w:rsidR="0053640C" w:rsidRPr="0053640C" w:rsidRDefault="0053640C" w:rsidP="0053640C">
            <w:pPr>
              <w:rPr>
                <w:rFonts w:ascii="Arial" w:hAnsi="Arial" w:cs="Arial"/>
                <w:b/>
                <w:sz w:val="24"/>
                <w:szCs w:val="24"/>
                <w:lang w:val="en-AU"/>
              </w:rPr>
            </w:pPr>
          </w:p>
        </w:tc>
      </w:tr>
      <w:tr w:rsidR="00172ADA" w:rsidRPr="00172ADA" w14:paraId="156ABC4C" w14:textId="77777777" w:rsidTr="00E265AE">
        <w:trPr>
          <w:trHeight w:val="943"/>
          <w:jc w:val="center"/>
        </w:trPr>
        <w:tc>
          <w:tcPr>
            <w:tcW w:w="2689" w:type="dxa"/>
            <w:tcBorders>
              <w:top w:val="nil"/>
              <w:left w:val="single" w:sz="4" w:space="0" w:color="auto"/>
              <w:bottom w:val="double" w:sz="6" w:space="0" w:color="auto"/>
              <w:right w:val="single" w:sz="4" w:space="0" w:color="auto"/>
            </w:tcBorders>
            <w:shd w:val="clear" w:color="auto" w:fill="auto"/>
            <w:vAlign w:val="center"/>
            <w:hideMark/>
          </w:tcPr>
          <w:p w14:paraId="3392C410" w14:textId="77777777" w:rsidR="00172ADA" w:rsidRPr="00502984" w:rsidRDefault="00172ADA" w:rsidP="004B4D2E">
            <w:pPr>
              <w:rPr>
                <w:rFonts w:ascii="Arial" w:hAnsi="Arial" w:cs="Arial"/>
                <w:b/>
                <w:bCs/>
                <w:color w:val="000000"/>
                <w:sz w:val="24"/>
                <w:szCs w:val="24"/>
              </w:rPr>
            </w:pPr>
            <w:r w:rsidRPr="00502984">
              <w:rPr>
                <w:rFonts w:ascii="Arial" w:hAnsi="Arial" w:cs="Arial"/>
                <w:b/>
                <w:bCs/>
                <w:color w:val="000000"/>
                <w:sz w:val="24"/>
                <w:szCs w:val="24"/>
              </w:rPr>
              <w:t>Department</w:t>
            </w:r>
          </w:p>
        </w:tc>
        <w:tc>
          <w:tcPr>
            <w:tcW w:w="5551" w:type="dxa"/>
            <w:tcBorders>
              <w:top w:val="nil"/>
              <w:left w:val="nil"/>
              <w:bottom w:val="double" w:sz="6" w:space="0" w:color="auto"/>
              <w:right w:val="single" w:sz="4" w:space="0" w:color="auto"/>
            </w:tcBorders>
            <w:shd w:val="clear" w:color="auto" w:fill="auto"/>
            <w:noWrap/>
            <w:vAlign w:val="center"/>
            <w:hideMark/>
          </w:tcPr>
          <w:p w14:paraId="45AC59DA" w14:textId="77777777" w:rsidR="0053640C" w:rsidRPr="00502984" w:rsidRDefault="0053640C" w:rsidP="004B4D2E">
            <w:pPr>
              <w:rPr>
                <w:rFonts w:ascii="Arial" w:hAnsi="Arial" w:cs="Arial"/>
                <w:color w:val="000000"/>
                <w:sz w:val="24"/>
                <w:szCs w:val="24"/>
              </w:rPr>
            </w:pPr>
            <w:r w:rsidRPr="00502984">
              <w:rPr>
                <w:rFonts w:ascii="Arial" w:hAnsi="Arial" w:cs="Arial"/>
                <w:color w:val="000000"/>
                <w:sz w:val="24"/>
                <w:szCs w:val="24"/>
              </w:rPr>
              <w:t>Adult &amp; Community Learning</w:t>
            </w:r>
          </w:p>
          <w:p w14:paraId="7FFFDA68" w14:textId="77777777" w:rsidR="0053640C" w:rsidRPr="00502984" w:rsidRDefault="0053640C" w:rsidP="004B4D2E">
            <w:pPr>
              <w:rPr>
                <w:rFonts w:ascii="Arial" w:hAnsi="Arial" w:cs="Arial"/>
                <w:color w:val="000000"/>
                <w:sz w:val="24"/>
                <w:szCs w:val="24"/>
              </w:rPr>
            </w:pPr>
          </w:p>
        </w:tc>
      </w:tr>
      <w:tr w:rsidR="00172ADA" w:rsidRPr="00172ADA" w14:paraId="6DAC3B43" w14:textId="77777777" w:rsidTr="00E265AE">
        <w:trPr>
          <w:trHeight w:val="927"/>
          <w:jc w:val="center"/>
        </w:trPr>
        <w:tc>
          <w:tcPr>
            <w:tcW w:w="2689" w:type="dxa"/>
            <w:tcBorders>
              <w:top w:val="nil"/>
              <w:left w:val="single" w:sz="4" w:space="0" w:color="auto"/>
              <w:bottom w:val="double" w:sz="6" w:space="0" w:color="auto"/>
              <w:right w:val="single" w:sz="4" w:space="0" w:color="auto"/>
            </w:tcBorders>
            <w:shd w:val="clear" w:color="auto" w:fill="auto"/>
            <w:vAlign w:val="center"/>
            <w:hideMark/>
          </w:tcPr>
          <w:p w14:paraId="3AC67478" w14:textId="77777777" w:rsidR="00172ADA" w:rsidRPr="00172ADA" w:rsidRDefault="00172ADA" w:rsidP="00FE68AD">
            <w:pPr>
              <w:rPr>
                <w:rFonts w:ascii="Arial" w:hAnsi="Arial" w:cs="Arial"/>
                <w:b/>
                <w:bCs/>
                <w:color w:val="000000"/>
                <w:sz w:val="24"/>
                <w:szCs w:val="24"/>
              </w:rPr>
            </w:pPr>
            <w:r w:rsidRPr="00172ADA">
              <w:rPr>
                <w:rFonts w:ascii="Arial" w:hAnsi="Arial" w:cs="Arial"/>
                <w:b/>
                <w:bCs/>
                <w:color w:val="000000"/>
                <w:sz w:val="24"/>
                <w:szCs w:val="24"/>
              </w:rPr>
              <w:t>Created by</w:t>
            </w:r>
            <w:r w:rsidRPr="00172ADA">
              <w:rPr>
                <w:rFonts w:ascii="Arial" w:hAnsi="Arial" w:cs="Arial"/>
                <w:b/>
                <w:bCs/>
                <w:color w:val="000000"/>
                <w:sz w:val="24"/>
                <w:szCs w:val="24"/>
              </w:rPr>
              <w:br/>
              <w:t>(Job Title)</w:t>
            </w:r>
          </w:p>
        </w:tc>
        <w:tc>
          <w:tcPr>
            <w:tcW w:w="5551" w:type="dxa"/>
            <w:tcBorders>
              <w:top w:val="nil"/>
              <w:left w:val="nil"/>
              <w:bottom w:val="double" w:sz="6" w:space="0" w:color="auto"/>
              <w:right w:val="single" w:sz="4" w:space="0" w:color="auto"/>
            </w:tcBorders>
            <w:shd w:val="clear" w:color="auto" w:fill="auto"/>
            <w:noWrap/>
            <w:vAlign w:val="center"/>
            <w:hideMark/>
          </w:tcPr>
          <w:p w14:paraId="3DF98DC8" w14:textId="71055034" w:rsidR="00172ADA" w:rsidRDefault="00172ADA" w:rsidP="0053640C">
            <w:pPr>
              <w:rPr>
                <w:rFonts w:ascii="Arial" w:hAnsi="Arial" w:cs="Arial"/>
                <w:color w:val="000000"/>
                <w:sz w:val="24"/>
                <w:szCs w:val="24"/>
              </w:rPr>
            </w:pPr>
            <w:r w:rsidRPr="00172ADA">
              <w:rPr>
                <w:rFonts w:ascii="Arial" w:hAnsi="Arial" w:cs="Arial"/>
                <w:color w:val="000000"/>
                <w:sz w:val="24"/>
                <w:szCs w:val="24"/>
              </w:rPr>
              <w:t xml:space="preserve">Director of </w:t>
            </w:r>
            <w:r w:rsidR="0053640C">
              <w:rPr>
                <w:rFonts w:ascii="Arial" w:hAnsi="Arial" w:cs="Arial"/>
                <w:color w:val="000000"/>
                <w:sz w:val="24"/>
                <w:szCs w:val="24"/>
              </w:rPr>
              <w:t xml:space="preserve">Adult &amp; Community Learning </w:t>
            </w:r>
          </w:p>
          <w:p w14:paraId="29C10A13" w14:textId="77777777" w:rsidR="0053640C" w:rsidRPr="00172ADA" w:rsidRDefault="0053640C" w:rsidP="0053640C">
            <w:pPr>
              <w:rPr>
                <w:rFonts w:ascii="Arial" w:hAnsi="Arial" w:cs="Arial"/>
                <w:color w:val="000000"/>
                <w:sz w:val="24"/>
                <w:szCs w:val="24"/>
              </w:rPr>
            </w:pPr>
          </w:p>
        </w:tc>
      </w:tr>
      <w:tr w:rsidR="00172ADA" w:rsidRPr="00172ADA" w14:paraId="2A0DB532" w14:textId="77777777" w:rsidTr="00E265AE">
        <w:trPr>
          <w:trHeight w:val="739"/>
          <w:jc w:val="center"/>
        </w:trPr>
        <w:tc>
          <w:tcPr>
            <w:tcW w:w="2689" w:type="dxa"/>
            <w:tcBorders>
              <w:top w:val="nil"/>
              <w:left w:val="single" w:sz="4" w:space="0" w:color="auto"/>
              <w:bottom w:val="double" w:sz="6" w:space="0" w:color="auto"/>
              <w:right w:val="single" w:sz="4" w:space="0" w:color="auto"/>
            </w:tcBorders>
            <w:shd w:val="clear" w:color="auto" w:fill="auto"/>
            <w:vAlign w:val="center"/>
            <w:hideMark/>
          </w:tcPr>
          <w:p w14:paraId="036A7AAC" w14:textId="77777777" w:rsidR="00172ADA" w:rsidRPr="00172ADA" w:rsidRDefault="00172ADA" w:rsidP="00FE68AD">
            <w:pPr>
              <w:rPr>
                <w:rFonts w:ascii="Arial" w:hAnsi="Arial" w:cs="Arial"/>
                <w:b/>
                <w:bCs/>
                <w:color w:val="000000"/>
                <w:sz w:val="24"/>
                <w:szCs w:val="24"/>
              </w:rPr>
            </w:pPr>
            <w:r w:rsidRPr="00172ADA">
              <w:rPr>
                <w:rFonts w:ascii="Arial" w:hAnsi="Arial" w:cs="Arial"/>
                <w:b/>
                <w:bCs/>
                <w:color w:val="000000"/>
                <w:sz w:val="24"/>
                <w:szCs w:val="24"/>
              </w:rPr>
              <w:t>Date Reviewed</w:t>
            </w:r>
          </w:p>
        </w:tc>
        <w:tc>
          <w:tcPr>
            <w:tcW w:w="5551" w:type="dxa"/>
            <w:tcBorders>
              <w:top w:val="nil"/>
              <w:left w:val="nil"/>
              <w:bottom w:val="double" w:sz="6" w:space="0" w:color="auto"/>
              <w:right w:val="single" w:sz="4" w:space="0" w:color="auto"/>
            </w:tcBorders>
            <w:shd w:val="clear" w:color="auto" w:fill="auto"/>
            <w:noWrap/>
            <w:vAlign w:val="center"/>
            <w:hideMark/>
          </w:tcPr>
          <w:p w14:paraId="7C048E1C" w14:textId="5DF10133" w:rsidR="00172ADA" w:rsidRDefault="00EB6141" w:rsidP="00FE68AD">
            <w:pPr>
              <w:rPr>
                <w:rFonts w:ascii="Arial" w:hAnsi="Arial" w:cs="Arial"/>
                <w:color w:val="000000"/>
                <w:sz w:val="24"/>
                <w:szCs w:val="24"/>
              </w:rPr>
            </w:pPr>
            <w:r>
              <w:rPr>
                <w:rFonts w:ascii="Arial" w:hAnsi="Arial" w:cs="Arial"/>
                <w:color w:val="000000"/>
                <w:sz w:val="24"/>
                <w:szCs w:val="24"/>
              </w:rPr>
              <w:t>August 202</w:t>
            </w:r>
            <w:r w:rsidR="00B35E6E">
              <w:rPr>
                <w:rFonts w:ascii="Arial" w:hAnsi="Arial" w:cs="Arial"/>
                <w:color w:val="000000"/>
                <w:sz w:val="24"/>
                <w:szCs w:val="24"/>
              </w:rPr>
              <w:t>1</w:t>
            </w:r>
          </w:p>
          <w:p w14:paraId="55CCBA23" w14:textId="77777777" w:rsidR="0053640C" w:rsidRPr="00172ADA" w:rsidRDefault="0053640C" w:rsidP="00FE68AD">
            <w:pPr>
              <w:rPr>
                <w:rFonts w:ascii="Arial" w:hAnsi="Arial" w:cs="Arial"/>
                <w:color w:val="000000"/>
                <w:sz w:val="24"/>
                <w:szCs w:val="24"/>
              </w:rPr>
            </w:pPr>
          </w:p>
        </w:tc>
      </w:tr>
      <w:tr w:rsidR="00172ADA" w:rsidRPr="00172ADA" w14:paraId="66C6A912" w14:textId="77777777" w:rsidTr="00E265AE">
        <w:trPr>
          <w:trHeight w:val="679"/>
          <w:jc w:val="center"/>
        </w:trPr>
        <w:tc>
          <w:tcPr>
            <w:tcW w:w="2689" w:type="dxa"/>
            <w:tcBorders>
              <w:top w:val="nil"/>
              <w:left w:val="single" w:sz="4" w:space="0" w:color="auto"/>
              <w:bottom w:val="double" w:sz="6" w:space="0" w:color="auto"/>
              <w:right w:val="single" w:sz="4" w:space="0" w:color="auto"/>
            </w:tcBorders>
            <w:shd w:val="clear" w:color="auto" w:fill="auto"/>
            <w:vAlign w:val="center"/>
            <w:hideMark/>
          </w:tcPr>
          <w:p w14:paraId="6AED08E4" w14:textId="77777777" w:rsidR="00172ADA" w:rsidRPr="00172ADA" w:rsidRDefault="00172ADA" w:rsidP="00FE68AD">
            <w:pPr>
              <w:rPr>
                <w:rFonts w:ascii="Arial" w:hAnsi="Arial" w:cs="Arial"/>
                <w:b/>
                <w:bCs/>
                <w:color w:val="000000"/>
                <w:sz w:val="24"/>
                <w:szCs w:val="24"/>
              </w:rPr>
            </w:pPr>
            <w:r w:rsidRPr="00172ADA">
              <w:rPr>
                <w:rFonts w:ascii="Arial" w:hAnsi="Arial" w:cs="Arial"/>
                <w:b/>
                <w:bCs/>
                <w:color w:val="000000"/>
                <w:sz w:val="24"/>
                <w:szCs w:val="24"/>
              </w:rPr>
              <w:t>Date of Next Review</w:t>
            </w:r>
          </w:p>
        </w:tc>
        <w:tc>
          <w:tcPr>
            <w:tcW w:w="5551" w:type="dxa"/>
            <w:tcBorders>
              <w:top w:val="nil"/>
              <w:left w:val="nil"/>
              <w:bottom w:val="double" w:sz="6" w:space="0" w:color="auto"/>
              <w:right w:val="single" w:sz="4" w:space="0" w:color="auto"/>
            </w:tcBorders>
            <w:shd w:val="clear" w:color="auto" w:fill="auto"/>
            <w:noWrap/>
            <w:vAlign w:val="center"/>
            <w:hideMark/>
          </w:tcPr>
          <w:p w14:paraId="650EFD3D" w14:textId="45BF35F9" w:rsidR="00172ADA" w:rsidRDefault="00EB6141" w:rsidP="0053640C">
            <w:pPr>
              <w:rPr>
                <w:rFonts w:ascii="Arial" w:hAnsi="Arial" w:cs="Arial"/>
                <w:color w:val="000000"/>
                <w:sz w:val="24"/>
                <w:szCs w:val="24"/>
              </w:rPr>
            </w:pPr>
            <w:r>
              <w:rPr>
                <w:rFonts w:ascii="Arial" w:hAnsi="Arial" w:cs="Arial"/>
                <w:color w:val="000000"/>
                <w:sz w:val="24"/>
                <w:szCs w:val="24"/>
              </w:rPr>
              <w:t>August</w:t>
            </w:r>
            <w:r w:rsidR="00172ADA" w:rsidRPr="00172ADA">
              <w:rPr>
                <w:rFonts w:ascii="Arial" w:hAnsi="Arial" w:cs="Arial"/>
                <w:color w:val="000000"/>
                <w:sz w:val="24"/>
                <w:szCs w:val="24"/>
              </w:rPr>
              <w:t xml:space="preserve"> 20</w:t>
            </w:r>
            <w:r>
              <w:rPr>
                <w:rFonts w:ascii="Arial" w:hAnsi="Arial" w:cs="Arial"/>
                <w:color w:val="000000"/>
                <w:sz w:val="24"/>
                <w:szCs w:val="24"/>
              </w:rPr>
              <w:t>2</w:t>
            </w:r>
            <w:r w:rsidR="00B35E6E">
              <w:rPr>
                <w:rFonts w:ascii="Arial" w:hAnsi="Arial" w:cs="Arial"/>
                <w:color w:val="000000"/>
                <w:sz w:val="24"/>
                <w:szCs w:val="24"/>
              </w:rPr>
              <w:t>2</w:t>
            </w:r>
          </w:p>
          <w:p w14:paraId="0B1604E6" w14:textId="77777777" w:rsidR="0053640C" w:rsidRPr="00172ADA" w:rsidRDefault="0053640C" w:rsidP="0053640C">
            <w:pPr>
              <w:rPr>
                <w:rFonts w:ascii="Arial" w:hAnsi="Arial" w:cs="Arial"/>
                <w:color w:val="000000"/>
                <w:sz w:val="24"/>
                <w:szCs w:val="24"/>
              </w:rPr>
            </w:pPr>
          </w:p>
        </w:tc>
      </w:tr>
      <w:tr w:rsidR="00172ADA" w:rsidRPr="00172ADA" w14:paraId="31D69201" w14:textId="77777777" w:rsidTr="00E265AE">
        <w:trPr>
          <w:trHeight w:val="2085"/>
          <w:jc w:val="center"/>
        </w:trPr>
        <w:tc>
          <w:tcPr>
            <w:tcW w:w="2689" w:type="dxa"/>
            <w:tcBorders>
              <w:top w:val="nil"/>
              <w:left w:val="single" w:sz="4" w:space="0" w:color="auto"/>
              <w:bottom w:val="double" w:sz="6" w:space="0" w:color="auto"/>
              <w:right w:val="single" w:sz="4" w:space="0" w:color="auto"/>
            </w:tcBorders>
            <w:shd w:val="clear" w:color="auto" w:fill="auto"/>
            <w:vAlign w:val="center"/>
            <w:hideMark/>
          </w:tcPr>
          <w:p w14:paraId="6E50F63F" w14:textId="77777777" w:rsidR="00172ADA" w:rsidRPr="00172ADA" w:rsidRDefault="00172ADA" w:rsidP="00FE68AD">
            <w:pPr>
              <w:rPr>
                <w:rFonts w:ascii="Arial" w:hAnsi="Arial" w:cs="Arial"/>
                <w:b/>
                <w:bCs/>
                <w:color w:val="000000"/>
                <w:sz w:val="24"/>
                <w:szCs w:val="24"/>
              </w:rPr>
            </w:pPr>
            <w:r w:rsidRPr="00172ADA">
              <w:rPr>
                <w:rFonts w:ascii="Arial" w:hAnsi="Arial" w:cs="Arial"/>
                <w:b/>
                <w:bCs/>
                <w:color w:val="000000"/>
                <w:sz w:val="24"/>
                <w:szCs w:val="24"/>
              </w:rPr>
              <w:t>Equality Impact Assessment</w:t>
            </w:r>
          </w:p>
        </w:tc>
        <w:tc>
          <w:tcPr>
            <w:tcW w:w="5551" w:type="dxa"/>
            <w:tcBorders>
              <w:top w:val="nil"/>
              <w:left w:val="nil"/>
              <w:bottom w:val="double" w:sz="6" w:space="0" w:color="auto"/>
              <w:right w:val="single" w:sz="4" w:space="0" w:color="auto"/>
            </w:tcBorders>
            <w:shd w:val="clear" w:color="auto" w:fill="auto"/>
            <w:vAlign w:val="center"/>
            <w:hideMark/>
          </w:tcPr>
          <w:p w14:paraId="3303BF81" w14:textId="77777777" w:rsidR="00172ADA" w:rsidRPr="00172ADA" w:rsidRDefault="00172ADA" w:rsidP="00502984">
            <w:pPr>
              <w:rPr>
                <w:rFonts w:ascii="Arial" w:hAnsi="Arial" w:cs="Arial"/>
                <w:color w:val="000000"/>
                <w:sz w:val="24"/>
                <w:szCs w:val="24"/>
              </w:rPr>
            </w:pPr>
            <w:r w:rsidRPr="00172ADA">
              <w:rPr>
                <w:rFonts w:ascii="Arial" w:eastAsia="Calibri" w:hAnsi="Arial" w:cs="Arial"/>
                <w:color w:val="000000"/>
                <w:sz w:val="24"/>
                <w:szCs w:val="24"/>
              </w:rPr>
              <w:t xml:space="preserve">This policy has been reviewed in line with the Equality Act 2010 which recognises the following categories as Protected Characteristics: Age, Disability, Gender Reassignment, Marriage and Civil Partnership, Pregnancy and Maternity, Race, Religion and Belief, Sex (gender) and Sexual orientation. We will continue to monitor this policy to ensure that it provides equal access and does not discriminate against anyone, especially any person/s listed under any protected characteristic. </w:t>
            </w:r>
          </w:p>
        </w:tc>
      </w:tr>
    </w:tbl>
    <w:p w14:paraId="0FABF78C" w14:textId="77777777" w:rsidR="0053640C" w:rsidRDefault="0053640C" w:rsidP="0053640C">
      <w:pPr>
        <w:spacing w:after="0" w:line="240" w:lineRule="auto"/>
        <w:rPr>
          <w:rFonts w:ascii="Arial" w:hAnsi="Arial" w:cs="Arial"/>
          <w:b/>
          <w:sz w:val="24"/>
          <w:szCs w:val="24"/>
          <w:lang w:val="en-AU"/>
        </w:rPr>
      </w:pPr>
    </w:p>
    <w:p w14:paraId="53447EC4" w14:textId="77777777" w:rsidR="0053640C" w:rsidRDefault="0053640C" w:rsidP="0053640C">
      <w:pPr>
        <w:spacing w:after="0" w:line="240" w:lineRule="auto"/>
        <w:rPr>
          <w:rFonts w:ascii="Arial" w:hAnsi="Arial" w:cs="Arial"/>
          <w:b/>
          <w:sz w:val="24"/>
          <w:szCs w:val="24"/>
          <w:lang w:val="en-AU"/>
        </w:rPr>
      </w:pPr>
    </w:p>
    <w:p w14:paraId="05BFF4EE" w14:textId="77777777" w:rsidR="004B4D2E" w:rsidRDefault="004B4D2E" w:rsidP="0053640C">
      <w:pPr>
        <w:spacing w:after="0" w:line="240" w:lineRule="auto"/>
        <w:rPr>
          <w:rFonts w:ascii="Arial" w:hAnsi="Arial" w:cs="Arial"/>
          <w:b/>
          <w:sz w:val="24"/>
          <w:szCs w:val="24"/>
          <w:lang w:val="en-AU"/>
        </w:rPr>
      </w:pPr>
    </w:p>
    <w:p w14:paraId="30240C21" w14:textId="4D5E13F7" w:rsidR="004B4D2E" w:rsidRDefault="004B4D2E" w:rsidP="0053640C">
      <w:pPr>
        <w:spacing w:after="0" w:line="240" w:lineRule="auto"/>
        <w:rPr>
          <w:rFonts w:ascii="Arial" w:hAnsi="Arial" w:cs="Arial"/>
          <w:b/>
          <w:sz w:val="24"/>
          <w:szCs w:val="24"/>
          <w:lang w:val="en-AU"/>
        </w:rPr>
      </w:pPr>
    </w:p>
    <w:p w14:paraId="2D30CE9D" w14:textId="01C7EE2D" w:rsidR="00A1563B" w:rsidRDefault="00A1563B" w:rsidP="0053640C">
      <w:pPr>
        <w:spacing w:after="0" w:line="240" w:lineRule="auto"/>
        <w:rPr>
          <w:rFonts w:ascii="Arial" w:hAnsi="Arial" w:cs="Arial"/>
          <w:b/>
          <w:sz w:val="24"/>
          <w:szCs w:val="24"/>
          <w:lang w:val="en-AU"/>
        </w:rPr>
      </w:pPr>
    </w:p>
    <w:p w14:paraId="6E08F65B" w14:textId="68E0023C" w:rsidR="00E265AE" w:rsidRDefault="00E265AE" w:rsidP="0053640C">
      <w:pPr>
        <w:spacing w:after="0" w:line="240" w:lineRule="auto"/>
        <w:rPr>
          <w:rFonts w:ascii="Arial" w:hAnsi="Arial" w:cs="Arial"/>
          <w:b/>
          <w:sz w:val="24"/>
          <w:szCs w:val="24"/>
          <w:lang w:val="en-AU"/>
        </w:rPr>
      </w:pPr>
    </w:p>
    <w:p w14:paraId="74C2AE68" w14:textId="6BA9BA39" w:rsidR="00E265AE" w:rsidRDefault="00E265AE" w:rsidP="0053640C">
      <w:pPr>
        <w:spacing w:after="0" w:line="240" w:lineRule="auto"/>
        <w:rPr>
          <w:rFonts w:ascii="Arial" w:hAnsi="Arial" w:cs="Arial"/>
          <w:b/>
          <w:sz w:val="24"/>
          <w:szCs w:val="24"/>
          <w:lang w:val="en-AU"/>
        </w:rPr>
      </w:pPr>
    </w:p>
    <w:p w14:paraId="695A1304" w14:textId="3F987976" w:rsidR="00E265AE" w:rsidRDefault="00E265AE" w:rsidP="0053640C">
      <w:pPr>
        <w:spacing w:after="0" w:line="240" w:lineRule="auto"/>
        <w:rPr>
          <w:rFonts w:ascii="Arial" w:hAnsi="Arial" w:cs="Arial"/>
          <w:b/>
          <w:sz w:val="24"/>
          <w:szCs w:val="24"/>
          <w:lang w:val="en-AU"/>
        </w:rPr>
      </w:pPr>
    </w:p>
    <w:p w14:paraId="57788B1E" w14:textId="467DE347" w:rsidR="00E265AE" w:rsidRDefault="00E265AE" w:rsidP="0053640C">
      <w:pPr>
        <w:spacing w:after="0" w:line="240" w:lineRule="auto"/>
        <w:rPr>
          <w:rFonts w:ascii="Arial" w:hAnsi="Arial" w:cs="Arial"/>
          <w:b/>
          <w:sz w:val="24"/>
          <w:szCs w:val="24"/>
          <w:lang w:val="en-AU"/>
        </w:rPr>
      </w:pPr>
    </w:p>
    <w:p w14:paraId="6684EB6A" w14:textId="77777777" w:rsidR="00E265AE" w:rsidRDefault="00E265AE" w:rsidP="0053640C">
      <w:pPr>
        <w:spacing w:after="0" w:line="240" w:lineRule="auto"/>
        <w:rPr>
          <w:rFonts w:ascii="Arial" w:hAnsi="Arial" w:cs="Arial"/>
          <w:b/>
          <w:sz w:val="24"/>
          <w:szCs w:val="24"/>
          <w:lang w:val="en-AU"/>
        </w:rPr>
      </w:pPr>
    </w:p>
    <w:p w14:paraId="0E081ADC" w14:textId="67FB1D9F" w:rsidR="00A1563B" w:rsidRDefault="00A1563B" w:rsidP="0053640C">
      <w:pPr>
        <w:spacing w:after="0" w:line="240" w:lineRule="auto"/>
        <w:rPr>
          <w:rFonts w:ascii="Arial" w:hAnsi="Arial" w:cs="Arial"/>
          <w:b/>
          <w:sz w:val="24"/>
          <w:szCs w:val="24"/>
          <w:lang w:val="en-AU"/>
        </w:rPr>
      </w:pPr>
    </w:p>
    <w:p w14:paraId="27AC4357" w14:textId="16A02DA2" w:rsidR="00A1563B" w:rsidRDefault="00A1563B" w:rsidP="0053640C">
      <w:pPr>
        <w:spacing w:after="0" w:line="240" w:lineRule="auto"/>
        <w:rPr>
          <w:rFonts w:ascii="Arial" w:hAnsi="Arial" w:cs="Arial"/>
          <w:b/>
          <w:sz w:val="24"/>
          <w:szCs w:val="24"/>
          <w:lang w:val="en-AU"/>
        </w:rPr>
      </w:pPr>
    </w:p>
    <w:p w14:paraId="25F6BDC4" w14:textId="77777777" w:rsidR="00172ADA" w:rsidRPr="00395F28" w:rsidRDefault="00172ADA" w:rsidP="004B4D2E">
      <w:pPr>
        <w:spacing w:after="0" w:line="240" w:lineRule="auto"/>
        <w:jc w:val="center"/>
        <w:rPr>
          <w:rFonts w:ascii="Arial" w:hAnsi="Arial" w:cs="Arial"/>
          <w:b/>
          <w:sz w:val="24"/>
          <w:szCs w:val="24"/>
          <w:u w:val="single"/>
          <w:lang w:val="en-AU"/>
        </w:rPr>
      </w:pPr>
      <w:r w:rsidRPr="00395F28">
        <w:rPr>
          <w:rFonts w:ascii="Arial" w:hAnsi="Arial" w:cs="Arial"/>
          <w:b/>
          <w:sz w:val="24"/>
          <w:szCs w:val="24"/>
          <w:u w:val="single"/>
          <w:lang w:val="en-AU"/>
        </w:rPr>
        <w:t>Sub-contracting (Fees and Charges) Policy</w:t>
      </w:r>
    </w:p>
    <w:p w14:paraId="05DAD53C" w14:textId="77777777" w:rsidR="00172ADA" w:rsidRPr="00172ADA" w:rsidRDefault="00172ADA" w:rsidP="004B4D2E">
      <w:pPr>
        <w:jc w:val="both"/>
        <w:rPr>
          <w:rFonts w:ascii="Arial" w:hAnsi="Arial" w:cs="Arial"/>
          <w:sz w:val="24"/>
          <w:szCs w:val="24"/>
        </w:rPr>
      </w:pPr>
    </w:p>
    <w:p w14:paraId="37331EC9" w14:textId="77777777" w:rsidR="00172ADA" w:rsidRPr="007430C2" w:rsidRDefault="00172ADA" w:rsidP="007430C2">
      <w:pPr>
        <w:rPr>
          <w:rFonts w:ascii="Arial" w:hAnsi="Arial" w:cs="Arial"/>
          <w:b/>
          <w:sz w:val="24"/>
        </w:rPr>
      </w:pPr>
      <w:r w:rsidRPr="007430C2">
        <w:rPr>
          <w:rFonts w:ascii="Arial" w:hAnsi="Arial" w:cs="Arial"/>
          <w:b/>
          <w:sz w:val="24"/>
        </w:rPr>
        <w:t>Scope</w:t>
      </w:r>
    </w:p>
    <w:p w14:paraId="4DA6A185" w14:textId="33261279" w:rsidR="00AD27A0" w:rsidRPr="00BB7223" w:rsidRDefault="00AD27A0" w:rsidP="00D11FC6">
      <w:pPr>
        <w:pStyle w:val="ListParagraph"/>
        <w:numPr>
          <w:ilvl w:val="0"/>
          <w:numId w:val="14"/>
        </w:numPr>
        <w:jc w:val="both"/>
        <w:rPr>
          <w:rFonts w:ascii="Arial" w:hAnsi="Arial" w:cs="Arial"/>
          <w:sz w:val="24"/>
        </w:rPr>
      </w:pPr>
      <w:r w:rsidRPr="00BB7223">
        <w:rPr>
          <w:rFonts w:ascii="Arial" w:hAnsi="Arial" w:cs="Arial"/>
          <w:sz w:val="24"/>
        </w:rPr>
        <w:t xml:space="preserve">This policy relates to activity funded through the Education Skills Funding Agency (ESFA) whereby The Bedford College Group (TBCG) enters into a subcontracting agreement with a supplier for Apprenticeship, 16-18 or Adult Skills recruitment and delivery. </w:t>
      </w:r>
    </w:p>
    <w:p w14:paraId="4EED98D4" w14:textId="77777777" w:rsidR="00172ADA" w:rsidRPr="00BB7223" w:rsidRDefault="00172ADA" w:rsidP="00D11FC6">
      <w:pPr>
        <w:jc w:val="both"/>
        <w:rPr>
          <w:rFonts w:ascii="Arial" w:hAnsi="Arial" w:cs="Arial"/>
          <w:b/>
          <w:sz w:val="24"/>
        </w:rPr>
      </w:pPr>
      <w:r w:rsidRPr="00BB7223">
        <w:rPr>
          <w:rFonts w:ascii="Arial" w:hAnsi="Arial" w:cs="Arial"/>
          <w:b/>
          <w:sz w:val="24"/>
        </w:rPr>
        <w:t>Context</w:t>
      </w:r>
    </w:p>
    <w:p w14:paraId="67B8A97E" w14:textId="51AA6A00" w:rsidR="00AD27A0" w:rsidRPr="00BB7223" w:rsidRDefault="00172ADA" w:rsidP="00D11FC6">
      <w:pPr>
        <w:pStyle w:val="ListParagraph"/>
        <w:numPr>
          <w:ilvl w:val="0"/>
          <w:numId w:val="14"/>
        </w:numPr>
        <w:jc w:val="both"/>
      </w:pPr>
      <w:r w:rsidRPr="00BB7223">
        <w:rPr>
          <w:rFonts w:ascii="Arial" w:hAnsi="Arial" w:cs="Arial"/>
          <w:sz w:val="24"/>
        </w:rPr>
        <w:t>A policy is now a mandatory requirement that must be in place prior to participating in any sub-contracting activity from 1 August 20</w:t>
      </w:r>
      <w:r w:rsidR="004B10BC" w:rsidRPr="00BB7223">
        <w:rPr>
          <w:rFonts w:ascii="Arial" w:hAnsi="Arial" w:cs="Arial"/>
          <w:sz w:val="24"/>
        </w:rPr>
        <w:t>21</w:t>
      </w:r>
      <w:r w:rsidRPr="00BB7223">
        <w:rPr>
          <w:rFonts w:ascii="Arial" w:hAnsi="Arial" w:cs="Arial"/>
          <w:sz w:val="24"/>
        </w:rPr>
        <w:t xml:space="preserve">. The content of this policy has been developed in line with </w:t>
      </w:r>
      <w:proofErr w:type="spellStart"/>
      <w:r w:rsidRPr="00BB7223">
        <w:rPr>
          <w:rFonts w:ascii="Arial" w:hAnsi="Arial" w:cs="Arial"/>
          <w:sz w:val="24"/>
        </w:rPr>
        <w:t>AoC</w:t>
      </w:r>
      <w:proofErr w:type="spellEnd"/>
      <w:r w:rsidRPr="00BB7223">
        <w:rPr>
          <w:rFonts w:ascii="Arial" w:hAnsi="Arial" w:cs="Arial"/>
          <w:sz w:val="24"/>
        </w:rPr>
        <w:t xml:space="preserve">/ AELP Common Accord, the </w:t>
      </w:r>
      <w:r w:rsidR="00C318F0" w:rsidRPr="00BB7223">
        <w:rPr>
          <w:rFonts w:ascii="Arial" w:hAnsi="Arial" w:cs="Arial"/>
          <w:sz w:val="24"/>
        </w:rPr>
        <w:t>E</w:t>
      </w:r>
      <w:r w:rsidRPr="00BB7223">
        <w:rPr>
          <w:rFonts w:ascii="Arial" w:hAnsi="Arial" w:cs="Arial"/>
          <w:sz w:val="24"/>
        </w:rPr>
        <w:t>SFA Funding rules and the LSIS Supply Chain Management document.</w:t>
      </w:r>
      <w:r w:rsidR="00AB03E5" w:rsidRPr="00BB7223">
        <w:t xml:space="preserve"> </w:t>
      </w:r>
    </w:p>
    <w:p w14:paraId="11B16F66" w14:textId="77777777" w:rsidR="00D11FC6" w:rsidRPr="00BB7223" w:rsidRDefault="00D11FC6" w:rsidP="00D11FC6">
      <w:pPr>
        <w:pStyle w:val="ListParagraph"/>
        <w:jc w:val="both"/>
      </w:pPr>
    </w:p>
    <w:p w14:paraId="25D61347" w14:textId="071097F2" w:rsidR="00AD27A0" w:rsidRPr="00BB7223" w:rsidRDefault="00AD27A0" w:rsidP="00D11FC6">
      <w:pPr>
        <w:pStyle w:val="ListParagraph"/>
        <w:numPr>
          <w:ilvl w:val="0"/>
          <w:numId w:val="14"/>
        </w:numPr>
        <w:rPr>
          <w:rFonts w:ascii="Arial" w:hAnsi="Arial" w:cs="Arial"/>
          <w:sz w:val="24"/>
        </w:rPr>
      </w:pPr>
      <w:r w:rsidRPr="00BB7223">
        <w:rPr>
          <w:rFonts w:ascii="Arial" w:hAnsi="Arial" w:cs="Arial"/>
          <w:sz w:val="24"/>
        </w:rPr>
        <w:t>This policy provides transparency for all sub–contractors, funding bodies and other associated parties or individuals regarding the procurement, due diligence process, support and charging rationale related to sub-contracted provision under TBCG’s direct contract with the ESFA.</w:t>
      </w:r>
    </w:p>
    <w:p w14:paraId="6558ED2F" w14:textId="16ADD521" w:rsidR="00172ADA" w:rsidRPr="00D11FC6" w:rsidRDefault="00172ADA" w:rsidP="00D11FC6">
      <w:pPr>
        <w:rPr>
          <w:rFonts w:ascii="Arial" w:hAnsi="Arial" w:cs="Arial"/>
          <w:b/>
          <w:sz w:val="24"/>
        </w:rPr>
      </w:pPr>
      <w:r w:rsidRPr="00D11FC6">
        <w:rPr>
          <w:rFonts w:ascii="Arial" w:hAnsi="Arial" w:cs="Arial"/>
          <w:b/>
          <w:sz w:val="24"/>
        </w:rPr>
        <w:t xml:space="preserve">Overarching Principle </w:t>
      </w:r>
    </w:p>
    <w:p w14:paraId="1F900AE1" w14:textId="1891AD13" w:rsidR="00172ADA" w:rsidRPr="00D11FC6" w:rsidRDefault="00AD27A0" w:rsidP="00D11FC6">
      <w:pPr>
        <w:pStyle w:val="ListParagraph"/>
        <w:numPr>
          <w:ilvl w:val="0"/>
          <w:numId w:val="14"/>
        </w:numPr>
        <w:jc w:val="both"/>
      </w:pPr>
      <w:r w:rsidRPr="00D11FC6">
        <w:rPr>
          <w:rFonts w:ascii="Arial" w:hAnsi="Arial" w:cs="Arial"/>
          <w:sz w:val="24"/>
        </w:rPr>
        <w:t>TBCG</w:t>
      </w:r>
      <w:r w:rsidR="00172ADA" w:rsidRPr="00D11FC6">
        <w:rPr>
          <w:rFonts w:ascii="Arial" w:hAnsi="Arial" w:cs="Arial"/>
          <w:sz w:val="24"/>
        </w:rPr>
        <w:t xml:space="preserve"> will </w:t>
      </w:r>
      <w:r w:rsidR="00172ADA" w:rsidRPr="00BB7223">
        <w:rPr>
          <w:rFonts w:ascii="Arial" w:hAnsi="Arial" w:cs="Arial"/>
          <w:sz w:val="24"/>
        </w:rPr>
        <w:t xml:space="preserve">use its </w:t>
      </w:r>
      <w:r w:rsidR="00AB03E5" w:rsidRPr="00BB7223">
        <w:rPr>
          <w:rFonts w:ascii="Arial" w:hAnsi="Arial" w:cs="Arial"/>
          <w:sz w:val="24"/>
        </w:rPr>
        <w:t>subcontractors</w:t>
      </w:r>
      <w:r w:rsidR="00172ADA" w:rsidRPr="00BB7223">
        <w:rPr>
          <w:rFonts w:ascii="Arial" w:hAnsi="Arial" w:cs="Arial"/>
          <w:sz w:val="24"/>
        </w:rPr>
        <w:t xml:space="preserve"> to optimise the impact and effectiveness of service</w:t>
      </w:r>
      <w:r w:rsidR="00921168" w:rsidRPr="00BB7223">
        <w:rPr>
          <w:rFonts w:ascii="Arial" w:hAnsi="Arial" w:cs="Arial"/>
          <w:sz w:val="24"/>
        </w:rPr>
        <w:t xml:space="preserve"> delivery</w:t>
      </w:r>
      <w:r w:rsidR="00921168" w:rsidRPr="00BB7223">
        <w:rPr>
          <w:sz w:val="24"/>
        </w:rPr>
        <w:t xml:space="preserve"> </w:t>
      </w:r>
      <w:r w:rsidR="00921168" w:rsidRPr="00BB7223">
        <w:rPr>
          <w:rFonts w:ascii="Arial" w:hAnsi="Arial" w:cs="Arial"/>
          <w:sz w:val="24"/>
        </w:rPr>
        <w:t xml:space="preserve">to the end user. </w:t>
      </w:r>
      <w:r w:rsidRPr="00BB7223">
        <w:rPr>
          <w:rFonts w:ascii="Arial" w:hAnsi="Arial" w:cs="Arial"/>
          <w:sz w:val="24"/>
        </w:rPr>
        <w:t>TBCG</w:t>
      </w:r>
      <w:r w:rsidR="00172ADA" w:rsidRPr="00BB7223">
        <w:rPr>
          <w:rFonts w:ascii="Arial" w:hAnsi="Arial" w:cs="Arial"/>
          <w:sz w:val="24"/>
        </w:rPr>
        <w:t xml:space="preserve"> will therefore </w:t>
      </w:r>
      <w:r w:rsidR="00172ADA" w:rsidRPr="00D11FC6">
        <w:rPr>
          <w:rFonts w:ascii="Arial" w:hAnsi="Arial" w:cs="Arial"/>
          <w:sz w:val="24"/>
        </w:rPr>
        <w:t>ensure that:</w:t>
      </w:r>
    </w:p>
    <w:p w14:paraId="27A96D53" w14:textId="77777777" w:rsidR="00D11FC6" w:rsidRPr="00261CC7" w:rsidRDefault="00D11FC6" w:rsidP="00D11FC6">
      <w:pPr>
        <w:pStyle w:val="ListParagraph"/>
        <w:jc w:val="both"/>
      </w:pPr>
    </w:p>
    <w:p w14:paraId="73FE154E" w14:textId="06233826" w:rsidR="00172ADA" w:rsidRPr="00261CC7" w:rsidRDefault="00AB03E5" w:rsidP="00D11FC6">
      <w:pPr>
        <w:pStyle w:val="ListParagraph"/>
        <w:numPr>
          <w:ilvl w:val="0"/>
          <w:numId w:val="15"/>
        </w:numPr>
        <w:jc w:val="both"/>
        <w:rPr>
          <w:rFonts w:ascii="Arial" w:hAnsi="Arial" w:cs="Arial"/>
          <w:sz w:val="24"/>
        </w:rPr>
      </w:pPr>
      <w:r w:rsidRPr="00AD27A0">
        <w:rPr>
          <w:rFonts w:ascii="Arial" w:hAnsi="Arial" w:cs="Arial"/>
          <w:sz w:val="24"/>
        </w:rPr>
        <w:t>S</w:t>
      </w:r>
      <w:r w:rsidR="00AD27A0" w:rsidRPr="00AD27A0">
        <w:rPr>
          <w:rFonts w:ascii="Arial" w:hAnsi="Arial" w:cs="Arial"/>
          <w:sz w:val="24"/>
        </w:rPr>
        <w:t xml:space="preserve">upply chain </w:t>
      </w:r>
      <w:r w:rsidR="00172ADA" w:rsidRPr="00261CC7">
        <w:rPr>
          <w:rFonts w:ascii="Arial" w:hAnsi="Arial" w:cs="Arial"/>
          <w:sz w:val="24"/>
        </w:rPr>
        <w:t xml:space="preserve">management activities comply with the principles of best practice in the skills sector. In particular they will be guided by the principles given in the LSIS </w:t>
      </w:r>
      <w:r w:rsidR="00A1563B" w:rsidRPr="00261CC7">
        <w:rPr>
          <w:rFonts w:ascii="Arial" w:hAnsi="Arial" w:cs="Arial"/>
          <w:sz w:val="24"/>
        </w:rPr>
        <w:t>publication</w:t>
      </w:r>
      <w:r w:rsidR="00A1563B" w:rsidRPr="00261CC7">
        <w:rPr>
          <w:rFonts w:ascii="Arial" w:hAnsi="Arial" w:cs="Arial"/>
          <w:i/>
          <w:sz w:val="24"/>
        </w:rPr>
        <w:t xml:space="preserve"> “</w:t>
      </w:r>
      <w:r w:rsidR="00172ADA" w:rsidRPr="00261CC7">
        <w:rPr>
          <w:rFonts w:ascii="Arial" w:hAnsi="Arial" w:cs="Arial"/>
          <w:i/>
          <w:sz w:val="24"/>
        </w:rPr>
        <w:t xml:space="preserve">Supply Chain Management – a good practice guide for the post-16 skills sector” </w:t>
      </w:r>
      <w:r w:rsidR="00172ADA" w:rsidRPr="00261CC7">
        <w:rPr>
          <w:rFonts w:ascii="Arial" w:hAnsi="Arial" w:cs="Arial"/>
          <w:sz w:val="24"/>
        </w:rPr>
        <w:t>(Nov 2012 and subsequent iterations)</w:t>
      </w:r>
      <w:r w:rsidR="00041E19">
        <w:rPr>
          <w:rFonts w:ascii="Arial" w:hAnsi="Arial" w:cs="Arial"/>
          <w:sz w:val="24"/>
        </w:rPr>
        <w:t>.</w:t>
      </w:r>
    </w:p>
    <w:p w14:paraId="75843AAF" w14:textId="35B3D6FC" w:rsidR="00172ADA" w:rsidRPr="00261CC7" w:rsidRDefault="00AD27A0" w:rsidP="00D11FC6">
      <w:pPr>
        <w:pStyle w:val="ListParagraph"/>
        <w:numPr>
          <w:ilvl w:val="0"/>
          <w:numId w:val="15"/>
        </w:numPr>
        <w:jc w:val="both"/>
        <w:rPr>
          <w:rFonts w:ascii="Arial" w:hAnsi="Arial" w:cs="Arial"/>
          <w:sz w:val="24"/>
        </w:rPr>
      </w:pPr>
      <w:r>
        <w:rPr>
          <w:rFonts w:ascii="Arial" w:hAnsi="Arial" w:cs="Arial"/>
          <w:sz w:val="24"/>
        </w:rPr>
        <w:t>TBCG</w:t>
      </w:r>
      <w:r w:rsidR="00172ADA" w:rsidRPr="00261CC7">
        <w:rPr>
          <w:rFonts w:ascii="Arial" w:hAnsi="Arial" w:cs="Arial"/>
          <w:sz w:val="24"/>
        </w:rPr>
        <w:t xml:space="preserve"> will at all times undertake fair and transparent procurement activities, conducting robust due diligence procedures on potential sub-contractors to ensure compliance with the </w:t>
      </w:r>
      <w:r w:rsidR="00AB03E5">
        <w:rPr>
          <w:rFonts w:ascii="Arial" w:hAnsi="Arial" w:cs="Arial"/>
          <w:sz w:val="24"/>
        </w:rPr>
        <w:t>c</w:t>
      </w:r>
      <w:r w:rsidR="00172ADA" w:rsidRPr="00261CC7">
        <w:rPr>
          <w:rFonts w:ascii="Arial" w:hAnsi="Arial" w:cs="Arial"/>
          <w:sz w:val="24"/>
        </w:rPr>
        <w:t xml:space="preserve">ommon </w:t>
      </w:r>
      <w:r w:rsidR="00AB03E5">
        <w:rPr>
          <w:rFonts w:ascii="Arial" w:hAnsi="Arial" w:cs="Arial"/>
          <w:sz w:val="24"/>
        </w:rPr>
        <w:t>a</w:t>
      </w:r>
      <w:r w:rsidR="00172ADA" w:rsidRPr="00261CC7">
        <w:rPr>
          <w:rFonts w:ascii="Arial" w:hAnsi="Arial" w:cs="Arial"/>
          <w:sz w:val="24"/>
        </w:rPr>
        <w:t>ccord and to ensure the highest quality of learning delivery is made available, demonstrating value for money and a positive impact on learner lives.</w:t>
      </w:r>
    </w:p>
    <w:p w14:paraId="6CCC3466" w14:textId="182EBFF3" w:rsidR="00172ADA" w:rsidRPr="00261CC7" w:rsidRDefault="00172ADA" w:rsidP="00D11FC6">
      <w:pPr>
        <w:pStyle w:val="ListParagraph"/>
        <w:numPr>
          <w:ilvl w:val="0"/>
          <w:numId w:val="15"/>
        </w:numPr>
        <w:jc w:val="both"/>
        <w:rPr>
          <w:rFonts w:ascii="Arial" w:hAnsi="Arial" w:cs="Arial"/>
          <w:sz w:val="24"/>
        </w:rPr>
      </w:pPr>
      <w:r w:rsidRPr="00261CC7">
        <w:rPr>
          <w:rFonts w:ascii="Arial" w:hAnsi="Arial" w:cs="Arial"/>
          <w:sz w:val="24"/>
        </w:rPr>
        <w:t xml:space="preserve">The funding that is retained by </w:t>
      </w:r>
      <w:r w:rsidR="00AD27A0">
        <w:rPr>
          <w:rFonts w:ascii="Arial" w:hAnsi="Arial" w:cs="Arial"/>
          <w:sz w:val="24"/>
        </w:rPr>
        <w:t>TBCG</w:t>
      </w:r>
      <w:r w:rsidRPr="00261CC7">
        <w:rPr>
          <w:rFonts w:ascii="Arial" w:hAnsi="Arial" w:cs="Arial"/>
          <w:sz w:val="24"/>
        </w:rPr>
        <w:t xml:space="preserve"> will be related to the costs of the services provided. These services will be clearly documented and agreed by all parties. The rates of such retained funding will be negotiated and agreed in a fair and transparent manner. They will be proportionate to the actual services being provided.</w:t>
      </w:r>
    </w:p>
    <w:p w14:paraId="1C961AE1" w14:textId="77777777" w:rsidR="0003303E" w:rsidRDefault="00172ADA" w:rsidP="00D11FC6">
      <w:pPr>
        <w:pStyle w:val="ListParagraph"/>
        <w:numPr>
          <w:ilvl w:val="0"/>
          <w:numId w:val="15"/>
        </w:numPr>
        <w:jc w:val="both"/>
        <w:rPr>
          <w:rFonts w:ascii="Arial" w:hAnsi="Arial" w:cs="Arial"/>
          <w:sz w:val="24"/>
        </w:rPr>
      </w:pPr>
      <w:r w:rsidRPr="00AD27A0">
        <w:rPr>
          <w:rFonts w:ascii="Arial" w:hAnsi="Arial" w:cs="Arial"/>
          <w:sz w:val="24"/>
        </w:rPr>
        <w:t>Contract documents will require both parties to agree that the achievements of supply chains are attained through adherence to both the letter and spirit of contracts or partnerships. Signatories therefore commit that all discussions, communications, negotiations and actions undertaken to build, maintain and develop supply chains</w:t>
      </w:r>
      <w:r w:rsidRPr="00261CC7">
        <w:rPr>
          <w:rFonts w:ascii="Arial" w:hAnsi="Arial" w:cs="Arial"/>
          <w:sz w:val="24"/>
        </w:rPr>
        <w:t xml:space="preserve"> will be conducted in good faith in accordance with the Overarching Principle.</w:t>
      </w:r>
    </w:p>
    <w:p w14:paraId="5C8E5688" w14:textId="7C48894F" w:rsidR="00417948" w:rsidRPr="00D11FC6" w:rsidRDefault="00172ADA" w:rsidP="00D11FC6">
      <w:pPr>
        <w:pStyle w:val="ListParagraph"/>
        <w:numPr>
          <w:ilvl w:val="0"/>
          <w:numId w:val="15"/>
        </w:numPr>
        <w:jc w:val="both"/>
        <w:rPr>
          <w:rFonts w:ascii="Arial" w:hAnsi="Arial" w:cs="Arial"/>
          <w:sz w:val="24"/>
        </w:rPr>
      </w:pPr>
      <w:r w:rsidRPr="0003303E">
        <w:rPr>
          <w:rFonts w:ascii="Arial" w:hAnsi="Arial" w:cs="Arial"/>
          <w:sz w:val="24"/>
        </w:rPr>
        <w:lastRenderedPageBreak/>
        <w:t>Where disputes between supply chain partners cannot be resolved through mutually agreed inter</w:t>
      </w:r>
      <w:r w:rsidR="008201A5" w:rsidRPr="0003303E">
        <w:rPr>
          <w:rFonts w:ascii="Arial" w:hAnsi="Arial" w:cs="Arial"/>
          <w:sz w:val="24"/>
        </w:rPr>
        <w:t xml:space="preserve">nal resolution procedures, </w:t>
      </w:r>
      <w:r w:rsidR="00AD27A0">
        <w:rPr>
          <w:rFonts w:ascii="Arial" w:hAnsi="Arial" w:cs="Arial"/>
          <w:sz w:val="24"/>
        </w:rPr>
        <w:t>TBCG</w:t>
      </w:r>
      <w:r w:rsidR="003D5067" w:rsidRPr="0003303E">
        <w:rPr>
          <w:rFonts w:ascii="Arial" w:hAnsi="Arial" w:cs="Arial"/>
          <w:sz w:val="24"/>
        </w:rPr>
        <w:t xml:space="preserve"> </w:t>
      </w:r>
      <w:r w:rsidRPr="0003303E">
        <w:rPr>
          <w:rFonts w:ascii="Arial" w:hAnsi="Arial" w:cs="Arial"/>
          <w:sz w:val="24"/>
        </w:rPr>
        <w:t>will submit to independent outside arbitration or mediation and abide by its findings.</w:t>
      </w:r>
    </w:p>
    <w:p w14:paraId="078A5C01" w14:textId="0B5405C9" w:rsidR="00172ADA" w:rsidRDefault="00172ADA" w:rsidP="00D11FC6">
      <w:pPr>
        <w:spacing w:after="80" w:line="240" w:lineRule="auto"/>
        <w:jc w:val="both"/>
        <w:rPr>
          <w:rFonts w:ascii="Arial" w:eastAsia="Calibri" w:hAnsi="Arial" w:cs="Arial"/>
          <w:b/>
          <w:sz w:val="24"/>
          <w:szCs w:val="24"/>
        </w:rPr>
      </w:pPr>
      <w:r w:rsidRPr="00172ADA">
        <w:rPr>
          <w:rFonts w:ascii="Arial" w:eastAsia="Calibri" w:hAnsi="Arial" w:cs="Arial"/>
          <w:b/>
          <w:sz w:val="24"/>
          <w:szCs w:val="24"/>
        </w:rPr>
        <w:t>Rationale for sub-contracting</w:t>
      </w:r>
    </w:p>
    <w:p w14:paraId="316EB4A8" w14:textId="77777777" w:rsidR="00D11FC6" w:rsidRPr="00172ADA" w:rsidRDefault="00D11FC6" w:rsidP="00D11FC6">
      <w:pPr>
        <w:spacing w:after="80" w:line="240" w:lineRule="auto"/>
        <w:jc w:val="both"/>
        <w:rPr>
          <w:rFonts w:ascii="Arial" w:eastAsia="Calibri" w:hAnsi="Arial" w:cs="Arial"/>
          <w:b/>
          <w:sz w:val="24"/>
          <w:szCs w:val="24"/>
        </w:rPr>
      </w:pPr>
    </w:p>
    <w:p w14:paraId="61F846E3" w14:textId="00C37266" w:rsidR="00172ADA" w:rsidRPr="00BB7223" w:rsidRDefault="00AD27A0" w:rsidP="00D11FC6">
      <w:pPr>
        <w:pStyle w:val="ListParagraph"/>
        <w:numPr>
          <w:ilvl w:val="0"/>
          <w:numId w:val="14"/>
        </w:numPr>
        <w:jc w:val="both"/>
        <w:rPr>
          <w:rFonts w:ascii="Arial" w:hAnsi="Arial" w:cs="Arial"/>
          <w:sz w:val="24"/>
          <w:szCs w:val="24"/>
        </w:rPr>
      </w:pPr>
      <w:r w:rsidRPr="00D11FC6">
        <w:rPr>
          <w:rFonts w:ascii="Arial" w:hAnsi="Arial" w:cs="Arial"/>
          <w:sz w:val="24"/>
          <w:szCs w:val="24"/>
        </w:rPr>
        <w:t>TBCG</w:t>
      </w:r>
      <w:r w:rsidR="00172ADA" w:rsidRPr="00D11FC6">
        <w:rPr>
          <w:rFonts w:ascii="Arial" w:hAnsi="Arial" w:cs="Arial"/>
          <w:sz w:val="24"/>
          <w:szCs w:val="24"/>
        </w:rPr>
        <w:t xml:space="preserve"> engages with sub-contractors to better meet customer needs </w:t>
      </w:r>
      <w:r w:rsidR="001E047E" w:rsidRPr="00D11FC6">
        <w:rPr>
          <w:rFonts w:ascii="Arial" w:hAnsi="Arial" w:cs="Arial"/>
          <w:sz w:val="24"/>
          <w:szCs w:val="24"/>
        </w:rPr>
        <w:t xml:space="preserve">and enhance </w:t>
      </w:r>
      <w:r w:rsidR="001E047E" w:rsidRPr="00BB7223">
        <w:rPr>
          <w:rFonts w:ascii="Arial" w:hAnsi="Arial" w:cs="Arial"/>
          <w:sz w:val="24"/>
          <w:szCs w:val="24"/>
        </w:rPr>
        <w:t>the quality of our learner offer</w:t>
      </w:r>
      <w:r w:rsidR="00172ADA" w:rsidRPr="00BB7223">
        <w:rPr>
          <w:rFonts w:ascii="Arial" w:hAnsi="Arial" w:cs="Arial"/>
          <w:sz w:val="24"/>
          <w:szCs w:val="24"/>
        </w:rPr>
        <w:t xml:space="preserve"> for varied reasons including:</w:t>
      </w:r>
    </w:p>
    <w:p w14:paraId="51162EE8" w14:textId="11920DA0" w:rsidR="001E047E" w:rsidRPr="00BB7223" w:rsidRDefault="001E047E" w:rsidP="00D11FC6">
      <w:pPr>
        <w:pStyle w:val="ListParagraph"/>
        <w:numPr>
          <w:ilvl w:val="1"/>
          <w:numId w:val="14"/>
        </w:numPr>
        <w:rPr>
          <w:rFonts w:ascii="Arial" w:hAnsi="Arial" w:cs="Arial"/>
          <w:sz w:val="28"/>
        </w:rPr>
      </w:pPr>
      <w:r w:rsidRPr="00BB7223">
        <w:rPr>
          <w:rFonts w:ascii="Arial" w:hAnsi="Arial" w:cs="Arial"/>
          <w:sz w:val="24"/>
        </w:rPr>
        <w:t>To e</w:t>
      </w:r>
      <w:r w:rsidR="0059453A" w:rsidRPr="00BB7223">
        <w:rPr>
          <w:rFonts w:ascii="Arial" w:hAnsi="Arial" w:cs="Arial"/>
          <w:sz w:val="24"/>
        </w:rPr>
        <w:t xml:space="preserve">nhance the opportunities available to learners. </w:t>
      </w:r>
    </w:p>
    <w:p w14:paraId="6A45EE84" w14:textId="28DD2859" w:rsidR="001E047E" w:rsidRPr="00BB7223" w:rsidRDefault="001E047E" w:rsidP="00D11FC6">
      <w:pPr>
        <w:pStyle w:val="ListParagraph"/>
        <w:numPr>
          <w:ilvl w:val="1"/>
          <w:numId w:val="14"/>
        </w:numPr>
        <w:rPr>
          <w:rFonts w:ascii="Arial" w:hAnsi="Arial" w:cs="Arial"/>
          <w:sz w:val="28"/>
        </w:rPr>
      </w:pPr>
      <w:r w:rsidRPr="00BB7223">
        <w:rPr>
          <w:rFonts w:ascii="Arial" w:hAnsi="Arial" w:cs="Arial"/>
          <w:sz w:val="24"/>
        </w:rPr>
        <w:t>To f</w:t>
      </w:r>
      <w:r w:rsidR="0059453A" w:rsidRPr="00BB7223">
        <w:rPr>
          <w:rFonts w:ascii="Arial" w:hAnsi="Arial" w:cs="Arial"/>
          <w:sz w:val="24"/>
        </w:rPr>
        <w:t>ill gaps in niche or expert provision or provide better access to training facilities.</w:t>
      </w:r>
    </w:p>
    <w:p w14:paraId="070C63D9" w14:textId="29868133" w:rsidR="001E047E" w:rsidRPr="00BB7223" w:rsidRDefault="0059453A" w:rsidP="00D11FC6">
      <w:pPr>
        <w:pStyle w:val="ListParagraph"/>
        <w:numPr>
          <w:ilvl w:val="1"/>
          <w:numId w:val="14"/>
        </w:numPr>
        <w:rPr>
          <w:rFonts w:ascii="Arial" w:hAnsi="Arial" w:cs="Arial"/>
          <w:sz w:val="28"/>
        </w:rPr>
      </w:pPr>
      <w:r w:rsidRPr="00BB7223">
        <w:rPr>
          <w:rFonts w:ascii="Arial" w:hAnsi="Arial" w:cs="Arial"/>
          <w:sz w:val="24"/>
        </w:rPr>
        <w:t xml:space="preserve"> </w:t>
      </w:r>
      <w:r w:rsidR="001E047E" w:rsidRPr="00BB7223">
        <w:rPr>
          <w:rFonts w:ascii="Arial" w:hAnsi="Arial" w:cs="Arial"/>
          <w:sz w:val="24"/>
        </w:rPr>
        <w:t>To s</w:t>
      </w:r>
      <w:r w:rsidRPr="00BB7223">
        <w:rPr>
          <w:rFonts w:ascii="Arial" w:hAnsi="Arial" w:cs="Arial"/>
          <w:sz w:val="24"/>
        </w:rPr>
        <w:t xml:space="preserve">upport better geographical access for learners. </w:t>
      </w:r>
    </w:p>
    <w:p w14:paraId="756C2BAB" w14:textId="536ACC20" w:rsidR="001E047E" w:rsidRPr="00BB7223" w:rsidRDefault="001E047E" w:rsidP="00D11FC6">
      <w:pPr>
        <w:pStyle w:val="ListParagraph"/>
        <w:numPr>
          <w:ilvl w:val="1"/>
          <w:numId w:val="14"/>
        </w:numPr>
        <w:rPr>
          <w:rFonts w:ascii="Arial" w:hAnsi="Arial" w:cs="Arial"/>
          <w:sz w:val="28"/>
        </w:rPr>
      </w:pPr>
      <w:r w:rsidRPr="00BB7223">
        <w:rPr>
          <w:rFonts w:ascii="Arial" w:hAnsi="Arial" w:cs="Arial"/>
          <w:sz w:val="24"/>
        </w:rPr>
        <w:t>To s</w:t>
      </w:r>
      <w:r w:rsidR="0059453A" w:rsidRPr="00BB7223">
        <w:rPr>
          <w:rFonts w:ascii="Arial" w:hAnsi="Arial" w:cs="Arial"/>
          <w:sz w:val="24"/>
        </w:rPr>
        <w:t xml:space="preserve">upport an entry point for disadvantaged groups. </w:t>
      </w:r>
    </w:p>
    <w:p w14:paraId="42B8FDE3" w14:textId="2C157977" w:rsidR="001E047E" w:rsidRPr="00BB7223" w:rsidRDefault="001E047E" w:rsidP="00D11FC6">
      <w:pPr>
        <w:pStyle w:val="ListParagraph"/>
        <w:numPr>
          <w:ilvl w:val="1"/>
          <w:numId w:val="14"/>
        </w:numPr>
        <w:rPr>
          <w:rFonts w:ascii="Arial" w:hAnsi="Arial" w:cs="Arial"/>
          <w:sz w:val="28"/>
        </w:rPr>
      </w:pPr>
      <w:r w:rsidRPr="00BB7223">
        <w:rPr>
          <w:rFonts w:ascii="Arial" w:hAnsi="Arial" w:cs="Arial"/>
          <w:sz w:val="24"/>
        </w:rPr>
        <w:t>To s</w:t>
      </w:r>
      <w:r w:rsidR="0059453A" w:rsidRPr="00BB7223">
        <w:rPr>
          <w:rFonts w:ascii="Arial" w:hAnsi="Arial" w:cs="Arial"/>
          <w:sz w:val="24"/>
        </w:rPr>
        <w:t>upport individuals w</w:t>
      </w:r>
      <w:r w:rsidRPr="00BB7223">
        <w:rPr>
          <w:rFonts w:ascii="Arial" w:hAnsi="Arial" w:cs="Arial"/>
          <w:sz w:val="24"/>
        </w:rPr>
        <w:t>ho share protected characteristics, where there might otherwise be gaps</w:t>
      </w:r>
      <w:r w:rsidR="004B10BC" w:rsidRPr="00BB7223">
        <w:rPr>
          <w:rFonts w:ascii="Arial" w:hAnsi="Arial" w:cs="Arial"/>
          <w:sz w:val="24"/>
        </w:rPr>
        <w:t>.</w:t>
      </w:r>
    </w:p>
    <w:p w14:paraId="2BEFA9CF" w14:textId="5D781A01" w:rsidR="00172ADA" w:rsidRPr="00D11FC6" w:rsidRDefault="00BB7223" w:rsidP="00D11FC6">
      <w:pPr>
        <w:rPr>
          <w:rFonts w:ascii="Arial" w:hAnsi="Arial" w:cs="Arial"/>
          <w:sz w:val="24"/>
        </w:rPr>
      </w:pPr>
      <w:r>
        <w:rPr>
          <w:rFonts w:ascii="Arial" w:eastAsia="Calibri" w:hAnsi="Arial" w:cs="Arial"/>
          <w:b/>
          <w:sz w:val="24"/>
          <w:szCs w:val="24"/>
        </w:rPr>
        <w:t xml:space="preserve">Due Diligence and </w:t>
      </w:r>
      <w:r w:rsidR="00172ADA" w:rsidRPr="00172ADA">
        <w:rPr>
          <w:rFonts w:ascii="Arial" w:eastAsia="Calibri" w:hAnsi="Arial" w:cs="Arial"/>
          <w:b/>
          <w:sz w:val="24"/>
          <w:szCs w:val="24"/>
        </w:rPr>
        <w:t>Quality Assurance</w:t>
      </w:r>
    </w:p>
    <w:p w14:paraId="2868EB13" w14:textId="77777777" w:rsidR="00C1315C" w:rsidRDefault="00BB7223" w:rsidP="00C1315C">
      <w:pPr>
        <w:pStyle w:val="ListParagraph"/>
        <w:numPr>
          <w:ilvl w:val="0"/>
          <w:numId w:val="14"/>
        </w:numPr>
        <w:jc w:val="both"/>
        <w:rPr>
          <w:rFonts w:ascii="Arial" w:hAnsi="Arial" w:cs="Arial"/>
          <w:sz w:val="24"/>
          <w:szCs w:val="24"/>
        </w:rPr>
      </w:pPr>
      <w:r w:rsidRPr="00C1315C">
        <w:rPr>
          <w:rFonts w:ascii="Arial" w:hAnsi="Arial" w:cs="Arial"/>
          <w:sz w:val="24"/>
          <w:szCs w:val="24"/>
        </w:rPr>
        <w:t xml:space="preserve">TBGC works with a minimal number of subcontractors </w:t>
      </w:r>
      <w:r w:rsidR="00FC7854" w:rsidRPr="00C1315C">
        <w:rPr>
          <w:rFonts w:ascii="Arial" w:hAnsi="Arial" w:cs="Arial"/>
          <w:sz w:val="24"/>
          <w:szCs w:val="24"/>
        </w:rPr>
        <w:t>to ensure the delivery of high-quality</w:t>
      </w:r>
      <w:r w:rsidRPr="00C1315C">
        <w:rPr>
          <w:rFonts w:ascii="Arial" w:hAnsi="Arial" w:cs="Arial"/>
          <w:sz w:val="24"/>
          <w:szCs w:val="24"/>
        </w:rPr>
        <w:t xml:space="preserve"> training and education</w:t>
      </w:r>
      <w:r w:rsidR="00C1315C">
        <w:rPr>
          <w:rFonts w:ascii="Arial" w:hAnsi="Arial" w:cs="Arial"/>
          <w:sz w:val="24"/>
          <w:szCs w:val="24"/>
        </w:rPr>
        <w:t xml:space="preserve"> </w:t>
      </w:r>
      <w:r w:rsidR="00C1315C" w:rsidRPr="00C1315C">
        <w:rPr>
          <w:rFonts w:ascii="Arial" w:hAnsi="Arial" w:cs="Arial"/>
          <w:sz w:val="24"/>
          <w:szCs w:val="24"/>
        </w:rPr>
        <w:t>which demonstrates value for money and has a positive impact on learner lives.</w:t>
      </w:r>
      <w:r w:rsidRPr="00C1315C">
        <w:rPr>
          <w:rFonts w:ascii="Arial" w:hAnsi="Arial" w:cs="Arial"/>
          <w:sz w:val="24"/>
          <w:szCs w:val="24"/>
        </w:rPr>
        <w:t xml:space="preserve"> </w:t>
      </w:r>
    </w:p>
    <w:p w14:paraId="467F3658" w14:textId="77777777" w:rsidR="00C1315C" w:rsidRDefault="00C1315C" w:rsidP="00C1315C">
      <w:pPr>
        <w:pStyle w:val="ListParagraph"/>
        <w:jc w:val="both"/>
        <w:rPr>
          <w:rFonts w:ascii="Arial" w:hAnsi="Arial" w:cs="Arial"/>
          <w:sz w:val="24"/>
          <w:szCs w:val="24"/>
        </w:rPr>
      </w:pPr>
    </w:p>
    <w:p w14:paraId="7F581F0D" w14:textId="5C0EFFFB" w:rsidR="00C1315C" w:rsidRDefault="00BB7223" w:rsidP="00C1315C">
      <w:pPr>
        <w:pStyle w:val="ListParagraph"/>
        <w:numPr>
          <w:ilvl w:val="0"/>
          <w:numId w:val="14"/>
        </w:numPr>
        <w:jc w:val="both"/>
        <w:rPr>
          <w:rFonts w:ascii="Arial" w:hAnsi="Arial" w:cs="Arial"/>
          <w:sz w:val="24"/>
          <w:szCs w:val="24"/>
        </w:rPr>
      </w:pPr>
      <w:r w:rsidRPr="00C1315C">
        <w:rPr>
          <w:rFonts w:ascii="Arial" w:hAnsi="Arial" w:cs="Arial"/>
          <w:sz w:val="24"/>
          <w:szCs w:val="24"/>
        </w:rPr>
        <w:t xml:space="preserve">All subcontractors will be subject to due diligence before being issued with a contract and, where relevant, are subject to the financial health checks as </w:t>
      </w:r>
      <w:r w:rsidR="00C1315C">
        <w:rPr>
          <w:rFonts w:ascii="Arial" w:hAnsi="Arial" w:cs="Arial"/>
          <w:sz w:val="24"/>
          <w:szCs w:val="24"/>
        </w:rPr>
        <w:t xml:space="preserve">identified </w:t>
      </w:r>
      <w:r w:rsidRPr="00C1315C">
        <w:rPr>
          <w:rFonts w:ascii="Arial" w:hAnsi="Arial" w:cs="Arial"/>
          <w:sz w:val="24"/>
          <w:szCs w:val="24"/>
        </w:rPr>
        <w:t>in the ESFA subcontractor guidance</w:t>
      </w:r>
      <w:r w:rsidR="00C1315C">
        <w:rPr>
          <w:rFonts w:ascii="Arial" w:hAnsi="Arial" w:cs="Arial"/>
          <w:sz w:val="24"/>
          <w:szCs w:val="24"/>
        </w:rPr>
        <w:t>.</w:t>
      </w:r>
    </w:p>
    <w:p w14:paraId="54E26828" w14:textId="77777777" w:rsidR="00C1315C" w:rsidRDefault="00C1315C" w:rsidP="00C1315C">
      <w:pPr>
        <w:pStyle w:val="ListParagraph"/>
        <w:jc w:val="both"/>
        <w:rPr>
          <w:rFonts w:ascii="Arial" w:hAnsi="Arial" w:cs="Arial"/>
          <w:sz w:val="24"/>
          <w:szCs w:val="24"/>
        </w:rPr>
      </w:pPr>
    </w:p>
    <w:p w14:paraId="7D22DF9A" w14:textId="51589841" w:rsidR="00C1315C" w:rsidRPr="00C1315C" w:rsidRDefault="00BB7223" w:rsidP="00C1315C">
      <w:pPr>
        <w:pStyle w:val="ListParagraph"/>
        <w:numPr>
          <w:ilvl w:val="0"/>
          <w:numId w:val="14"/>
        </w:numPr>
        <w:jc w:val="both"/>
        <w:rPr>
          <w:rFonts w:ascii="Arial" w:hAnsi="Arial" w:cs="Arial"/>
          <w:sz w:val="24"/>
          <w:szCs w:val="24"/>
        </w:rPr>
      </w:pPr>
      <w:r w:rsidRPr="00C1315C">
        <w:rPr>
          <w:rFonts w:ascii="Arial" w:hAnsi="Arial" w:cs="Arial"/>
          <w:sz w:val="24"/>
          <w:szCs w:val="24"/>
        </w:rPr>
        <w:t xml:space="preserve">All subcontractors must meet high quality standards </w:t>
      </w:r>
      <w:r w:rsidR="00C1315C" w:rsidRPr="00C1315C">
        <w:rPr>
          <w:rFonts w:ascii="Arial" w:hAnsi="Arial" w:cs="Arial"/>
          <w:sz w:val="24"/>
          <w:szCs w:val="24"/>
        </w:rPr>
        <w:t>and most be able to evidenc</w:t>
      </w:r>
      <w:r w:rsidR="007001D8">
        <w:rPr>
          <w:rFonts w:ascii="Arial" w:hAnsi="Arial" w:cs="Arial"/>
          <w:sz w:val="24"/>
          <w:szCs w:val="24"/>
        </w:rPr>
        <w:t>e the following…</w:t>
      </w:r>
    </w:p>
    <w:p w14:paraId="567DAD61" w14:textId="6793DEDA" w:rsidR="00C1315C" w:rsidRPr="00BD140F" w:rsidRDefault="00C1315C" w:rsidP="00C1315C">
      <w:pPr>
        <w:pStyle w:val="ListParagraph"/>
        <w:numPr>
          <w:ilvl w:val="1"/>
          <w:numId w:val="14"/>
        </w:numPr>
        <w:jc w:val="both"/>
        <w:rPr>
          <w:rFonts w:ascii="Arial" w:hAnsi="Arial" w:cs="Arial"/>
          <w:color w:val="000000" w:themeColor="text1"/>
          <w:sz w:val="24"/>
          <w:szCs w:val="24"/>
        </w:rPr>
      </w:pPr>
      <w:r>
        <w:rPr>
          <w:rFonts w:ascii="Arial" w:hAnsi="Arial" w:cs="Arial"/>
          <w:sz w:val="24"/>
          <w:szCs w:val="24"/>
        </w:rPr>
        <w:t>A</w:t>
      </w:r>
      <w:r w:rsidRPr="00C1315C">
        <w:rPr>
          <w:rFonts w:ascii="Arial" w:hAnsi="Arial" w:cs="Arial"/>
          <w:sz w:val="24"/>
          <w:szCs w:val="24"/>
        </w:rPr>
        <w:t xml:space="preserve"> previous track record of high-quality delivery (observation, student feedback, audit, self-</w:t>
      </w:r>
      <w:r w:rsidRPr="00BD140F">
        <w:rPr>
          <w:rFonts w:ascii="Arial" w:hAnsi="Arial" w:cs="Arial"/>
          <w:color w:val="000000" w:themeColor="text1"/>
          <w:sz w:val="24"/>
          <w:szCs w:val="24"/>
        </w:rPr>
        <w:t>assessment</w:t>
      </w:r>
      <w:r w:rsidR="0004446E" w:rsidRPr="00BD140F">
        <w:rPr>
          <w:rFonts w:ascii="Arial" w:hAnsi="Arial" w:cs="Arial"/>
          <w:color w:val="000000" w:themeColor="text1"/>
          <w:sz w:val="24"/>
          <w:szCs w:val="24"/>
        </w:rPr>
        <w:t>, inclusive LTA practice</w:t>
      </w:r>
      <w:r w:rsidRPr="00BD140F">
        <w:rPr>
          <w:rFonts w:ascii="Arial" w:hAnsi="Arial" w:cs="Arial"/>
          <w:color w:val="000000" w:themeColor="text1"/>
          <w:sz w:val="24"/>
          <w:szCs w:val="24"/>
        </w:rPr>
        <w:t xml:space="preserve">) </w:t>
      </w:r>
    </w:p>
    <w:p w14:paraId="3DE9168C" w14:textId="609EDBE5" w:rsidR="00C1315C" w:rsidRPr="00BD140F" w:rsidRDefault="00C1315C" w:rsidP="00C1315C">
      <w:pPr>
        <w:pStyle w:val="ListParagraph"/>
        <w:numPr>
          <w:ilvl w:val="1"/>
          <w:numId w:val="14"/>
        </w:numPr>
        <w:jc w:val="both"/>
        <w:rPr>
          <w:rFonts w:ascii="Arial" w:hAnsi="Arial" w:cs="Arial"/>
          <w:color w:val="000000" w:themeColor="text1"/>
          <w:sz w:val="24"/>
          <w:szCs w:val="24"/>
        </w:rPr>
      </w:pPr>
      <w:r w:rsidRPr="00BD140F">
        <w:rPr>
          <w:rFonts w:ascii="Arial" w:hAnsi="Arial" w:cs="Arial"/>
          <w:color w:val="000000" w:themeColor="text1"/>
          <w:sz w:val="24"/>
          <w:szCs w:val="24"/>
        </w:rPr>
        <w:t>High achievement rates</w:t>
      </w:r>
      <w:r w:rsidR="00833129" w:rsidRPr="00BD140F">
        <w:rPr>
          <w:rFonts w:ascii="Arial" w:hAnsi="Arial" w:cs="Arial"/>
          <w:color w:val="000000" w:themeColor="text1"/>
          <w:sz w:val="24"/>
          <w:szCs w:val="24"/>
        </w:rPr>
        <w:t>, including for different groups of learners</w:t>
      </w:r>
      <w:r w:rsidRPr="00BD140F">
        <w:rPr>
          <w:rFonts w:ascii="Arial" w:hAnsi="Arial" w:cs="Arial"/>
          <w:color w:val="000000" w:themeColor="text1"/>
          <w:sz w:val="24"/>
          <w:szCs w:val="24"/>
        </w:rPr>
        <w:t xml:space="preserve"> </w:t>
      </w:r>
      <w:r w:rsidR="00833129" w:rsidRPr="00BD140F">
        <w:rPr>
          <w:rFonts w:ascii="Arial" w:hAnsi="Arial" w:cs="Arial"/>
          <w:color w:val="000000" w:themeColor="text1"/>
          <w:sz w:val="24"/>
          <w:szCs w:val="24"/>
        </w:rPr>
        <w:t>(protected characteristics and disadvantaged groups)</w:t>
      </w:r>
    </w:p>
    <w:p w14:paraId="3212DF96" w14:textId="77FD7B44" w:rsidR="00C1315C" w:rsidRPr="00BD140F" w:rsidRDefault="00C1315C" w:rsidP="00C1315C">
      <w:pPr>
        <w:pStyle w:val="ListParagraph"/>
        <w:numPr>
          <w:ilvl w:val="1"/>
          <w:numId w:val="14"/>
        </w:numPr>
        <w:jc w:val="both"/>
        <w:rPr>
          <w:rFonts w:ascii="Arial" w:hAnsi="Arial" w:cs="Arial"/>
          <w:color w:val="000000" w:themeColor="text1"/>
          <w:sz w:val="24"/>
          <w:szCs w:val="24"/>
        </w:rPr>
      </w:pPr>
      <w:r w:rsidRPr="00BD140F">
        <w:rPr>
          <w:rFonts w:ascii="Arial" w:hAnsi="Arial" w:cs="Arial"/>
          <w:color w:val="000000" w:themeColor="text1"/>
          <w:sz w:val="24"/>
          <w:szCs w:val="24"/>
        </w:rPr>
        <w:t>The type of customers they will be engaging</w:t>
      </w:r>
    </w:p>
    <w:p w14:paraId="19185875" w14:textId="2F6A9173" w:rsidR="00C1315C" w:rsidRPr="00C1315C" w:rsidRDefault="00C1315C" w:rsidP="00C1315C">
      <w:pPr>
        <w:pStyle w:val="ListParagraph"/>
        <w:numPr>
          <w:ilvl w:val="1"/>
          <w:numId w:val="14"/>
        </w:numPr>
        <w:jc w:val="both"/>
        <w:rPr>
          <w:rFonts w:ascii="Arial" w:hAnsi="Arial" w:cs="Arial"/>
          <w:sz w:val="24"/>
          <w:szCs w:val="24"/>
        </w:rPr>
      </w:pPr>
      <w:r>
        <w:rPr>
          <w:rFonts w:ascii="Arial" w:hAnsi="Arial" w:cs="Arial"/>
          <w:sz w:val="24"/>
          <w:szCs w:val="24"/>
        </w:rPr>
        <w:t>The t</w:t>
      </w:r>
      <w:r w:rsidRPr="00C1315C">
        <w:rPr>
          <w:rFonts w:ascii="Arial" w:hAnsi="Arial" w:cs="Arial"/>
          <w:sz w:val="24"/>
          <w:szCs w:val="24"/>
        </w:rPr>
        <w:t>ype of provision to be undertaken</w:t>
      </w:r>
    </w:p>
    <w:p w14:paraId="5606479C" w14:textId="636A7670" w:rsidR="00C1315C" w:rsidRPr="00C1315C" w:rsidRDefault="00C1315C" w:rsidP="00C1315C">
      <w:pPr>
        <w:pStyle w:val="ListParagraph"/>
        <w:numPr>
          <w:ilvl w:val="1"/>
          <w:numId w:val="14"/>
        </w:numPr>
        <w:jc w:val="both"/>
        <w:rPr>
          <w:rFonts w:ascii="Arial" w:hAnsi="Arial" w:cs="Arial"/>
          <w:sz w:val="24"/>
          <w:szCs w:val="24"/>
        </w:rPr>
      </w:pPr>
      <w:r>
        <w:rPr>
          <w:rFonts w:ascii="Arial" w:hAnsi="Arial" w:cs="Arial"/>
          <w:sz w:val="24"/>
          <w:szCs w:val="24"/>
        </w:rPr>
        <w:t>Potential g</w:t>
      </w:r>
      <w:r w:rsidRPr="00C1315C">
        <w:rPr>
          <w:rFonts w:ascii="Arial" w:hAnsi="Arial" w:cs="Arial"/>
          <w:sz w:val="24"/>
          <w:szCs w:val="24"/>
        </w:rPr>
        <w:t>eographical spread of provision</w:t>
      </w:r>
    </w:p>
    <w:p w14:paraId="49F613F9" w14:textId="6D99CBEB" w:rsidR="00C1315C" w:rsidRPr="00C1315C" w:rsidRDefault="00C1315C" w:rsidP="00C1315C">
      <w:pPr>
        <w:pStyle w:val="ListParagraph"/>
        <w:numPr>
          <w:ilvl w:val="1"/>
          <w:numId w:val="14"/>
        </w:numPr>
        <w:jc w:val="both"/>
        <w:rPr>
          <w:rFonts w:ascii="Arial" w:hAnsi="Arial" w:cs="Arial"/>
          <w:sz w:val="24"/>
          <w:szCs w:val="24"/>
        </w:rPr>
      </w:pPr>
      <w:r w:rsidRPr="00C1315C">
        <w:rPr>
          <w:rFonts w:ascii="Arial" w:hAnsi="Arial" w:cs="Arial"/>
          <w:sz w:val="24"/>
          <w:szCs w:val="24"/>
        </w:rPr>
        <w:t>Contract delivery duration</w:t>
      </w:r>
      <w:r>
        <w:rPr>
          <w:rFonts w:ascii="Arial" w:hAnsi="Arial" w:cs="Arial"/>
          <w:sz w:val="24"/>
          <w:szCs w:val="24"/>
        </w:rPr>
        <w:t xml:space="preserve"> expectation</w:t>
      </w:r>
    </w:p>
    <w:p w14:paraId="10593E02" w14:textId="77777777" w:rsidR="00BB7223" w:rsidRDefault="00BB7223" w:rsidP="00BB7223">
      <w:pPr>
        <w:pStyle w:val="ListParagraph"/>
        <w:jc w:val="both"/>
        <w:rPr>
          <w:rFonts w:ascii="Arial" w:hAnsi="Arial" w:cs="Arial"/>
          <w:sz w:val="24"/>
          <w:szCs w:val="24"/>
        </w:rPr>
      </w:pPr>
    </w:p>
    <w:p w14:paraId="1369C0D1" w14:textId="1B55340A" w:rsidR="00833129" w:rsidRPr="00BD140F" w:rsidRDefault="00833129" w:rsidP="00D11FC6">
      <w:pPr>
        <w:pStyle w:val="ListParagraph"/>
        <w:numPr>
          <w:ilvl w:val="0"/>
          <w:numId w:val="14"/>
        </w:numPr>
        <w:jc w:val="both"/>
        <w:rPr>
          <w:rFonts w:ascii="Arial" w:hAnsi="Arial" w:cs="Arial"/>
          <w:color w:val="000000" w:themeColor="text1"/>
          <w:sz w:val="24"/>
          <w:szCs w:val="24"/>
        </w:rPr>
      </w:pPr>
      <w:bookmarkStart w:id="0" w:name="_GoBack"/>
      <w:r w:rsidRPr="00BD140F">
        <w:rPr>
          <w:rFonts w:ascii="Arial" w:hAnsi="Arial" w:cs="Arial"/>
          <w:color w:val="000000" w:themeColor="text1"/>
          <w:sz w:val="24"/>
          <w:szCs w:val="24"/>
        </w:rPr>
        <w:t xml:space="preserve">Subcontractors are made aware of the College’s Equality and Diversity policy and given a copy of the ‘Equality and Diversity in the workplace – A good practice guide’ (located on the College’s website / About us/ Equality and Diversity). All subcontractors and their </w:t>
      </w:r>
      <w:r w:rsidR="004A28D0" w:rsidRPr="00BD140F">
        <w:rPr>
          <w:rFonts w:ascii="Arial" w:hAnsi="Arial" w:cs="Arial"/>
          <w:color w:val="000000" w:themeColor="text1"/>
          <w:sz w:val="24"/>
          <w:szCs w:val="24"/>
        </w:rPr>
        <w:t>staff</w:t>
      </w:r>
      <w:r w:rsidRPr="00BD140F">
        <w:rPr>
          <w:rFonts w:ascii="Arial" w:hAnsi="Arial" w:cs="Arial"/>
          <w:color w:val="000000" w:themeColor="text1"/>
          <w:sz w:val="24"/>
          <w:szCs w:val="24"/>
        </w:rPr>
        <w:t xml:space="preserve"> are expected to comply with the College’s Equality and Diversity policy, unless they have an internal policy covering aspects of </w:t>
      </w:r>
      <w:r w:rsidR="00982B0A" w:rsidRPr="00BD140F">
        <w:rPr>
          <w:rFonts w:ascii="Arial" w:hAnsi="Arial" w:cs="Arial"/>
          <w:color w:val="000000" w:themeColor="text1"/>
          <w:sz w:val="24"/>
          <w:szCs w:val="24"/>
        </w:rPr>
        <w:t>equality, diversity and inclusion</w:t>
      </w:r>
      <w:r w:rsidR="00C67351" w:rsidRPr="00BD140F">
        <w:rPr>
          <w:rFonts w:ascii="Arial" w:hAnsi="Arial" w:cs="Arial"/>
          <w:color w:val="000000" w:themeColor="text1"/>
          <w:sz w:val="24"/>
          <w:szCs w:val="24"/>
        </w:rPr>
        <w:t xml:space="preserve"> (provide a copy). </w:t>
      </w:r>
    </w:p>
    <w:p w14:paraId="17AFE068" w14:textId="77777777" w:rsidR="00833129" w:rsidRPr="00BD140F" w:rsidRDefault="00833129" w:rsidP="00833129">
      <w:pPr>
        <w:pStyle w:val="ListParagraph"/>
        <w:jc w:val="both"/>
        <w:rPr>
          <w:rFonts w:ascii="Arial" w:hAnsi="Arial" w:cs="Arial"/>
          <w:color w:val="000000" w:themeColor="text1"/>
          <w:sz w:val="24"/>
          <w:szCs w:val="24"/>
        </w:rPr>
      </w:pPr>
    </w:p>
    <w:bookmarkEnd w:id="0"/>
    <w:p w14:paraId="24524564" w14:textId="4606F174" w:rsidR="00172ADA" w:rsidRDefault="00172ADA" w:rsidP="00D11FC6">
      <w:pPr>
        <w:pStyle w:val="ListParagraph"/>
        <w:numPr>
          <w:ilvl w:val="0"/>
          <w:numId w:val="14"/>
        </w:numPr>
        <w:jc w:val="both"/>
        <w:rPr>
          <w:rFonts w:ascii="Arial" w:hAnsi="Arial" w:cs="Arial"/>
          <w:sz w:val="24"/>
          <w:szCs w:val="24"/>
        </w:rPr>
      </w:pPr>
      <w:r w:rsidRPr="00D11FC6">
        <w:rPr>
          <w:rFonts w:ascii="Arial" w:hAnsi="Arial" w:cs="Arial"/>
          <w:sz w:val="24"/>
          <w:szCs w:val="24"/>
        </w:rPr>
        <w:t xml:space="preserve">Sub-contracted activity is a fundamental part of </w:t>
      </w:r>
      <w:r w:rsidR="00AD27A0" w:rsidRPr="00D11FC6">
        <w:rPr>
          <w:rFonts w:ascii="Arial" w:hAnsi="Arial" w:cs="Arial"/>
          <w:sz w:val="24"/>
          <w:szCs w:val="24"/>
        </w:rPr>
        <w:t>TBCG</w:t>
      </w:r>
      <w:r w:rsidR="003D5067" w:rsidRPr="00D11FC6">
        <w:rPr>
          <w:rFonts w:ascii="Arial" w:hAnsi="Arial" w:cs="Arial"/>
          <w:sz w:val="24"/>
          <w:szCs w:val="24"/>
        </w:rPr>
        <w:t>s</w:t>
      </w:r>
      <w:r w:rsidR="0063065A" w:rsidRPr="00D11FC6">
        <w:rPr>
          <w:rFonts w:ascii="Arial" w:hAnsi="Arial" w:cs="Arial"/>
          <w:sz w:val="24"/>
          <w:szCs w:val="24"/>
        </w:rPr>
        <w:t>’</w:t>
      </w:r>
      <w:r w:rsidRPr="00D11FC6">
        <w:rPr>
          <w:rFonts w:ascii="Arial" w:hAnsi="Arial" w:cs="Arial"/>
          <w:sz w:val="24"/>
          <w:szCs w:val="24"/>
        </w:rPr>
        <w:t xml:space="preserve"> provision. The quality of the provision will be monitored and managed through the existing </w:t>
      </w:r>
      <w:r w:rsidR="003D5067" w:rsidRPr="00D11FC6">
        <w:rPr>
          <w:rFonts w:ascii="Arial" w:hAnsi="Arial" w:cs="Arial"/>
          <w:sz w:val="24"/>
          <w:szCs w:val="24"/>
        </w:rPr>
        <w:t xml:space="preserve">Bedford </w:t>
      </w:r>
      <w:r w:rsidRPr="00D11FC6">
        <w:rPr>
          <w:rFonts w:ascii="Arial" w:hAnsi="Arial" w:cs="Arial"/>
          <w:sz w:val="24"/>
          <w:szCs w:val="24"/>
        </w:rPr>
        <w:t>College</w:t>
      </w:r>
      <w:r w:rsidR="003D5067" w:rsidRPr="00D11FC6">
        <w:rPr>
          <w:rFonts w:ascii="Arial" w:hAnsi="Arial" w:cs="Arial"/>
          <w:sz w:val="24"/>
          <w:szCs w:val="24"/>
        </w:rPr>
        <w:t xml:space="preserve"> </w:t>
      </w:r>
      <w:r w:rsidR="003D5067" w:rsidRPr="00D11FC6">
        <w:rPr>
          <w:rFonts w:ascii="Arial" w:hAnsi="Arial" w:cs="Arial"/>
          <w:sz w:val="24"/>
          <w:szCs w:val="24"/>
        </w:rPr>
        <w:lastRenderedPageBreak/>
        <w:t>Groups</w:t>
      </w:r>
      <w:r w:rsidRPr="00D11FC6">
        <w:rPr>
          <w:rFonts w:ascii="Arial" w:hAnsi="Arial" w:cs="Arial"/>
          <w:sz w:val="24"/>
          <w:szCs w:val="24"/>
        </w:rPr>
        <w:t xml:space="preserve"> Q</w:t>
      </w:r>
      <w:r w:rsidR="00EB6141" w:rsidRPr="00D11FC6">
        <w:rPr>
          <w:rFonts w:ascii="Arial" w:hAnsi="Arial" w:cs="Arial"/>
          <w:sz w:val="24"/>
          <w:szCs w:val="24"/>
        </w:rPr>
        <w:t xml:space="preserve">uality </w:t>
      </w:r>
      <w:r w:rsidRPr="00D11FC6">
        <w:rPr>
          <w:rFonts w:ascii="Arial" w:hAnsi="Arial" w:cs="Arial"/>
          <w:sz w:val="24"/>
          <w:szCs w:val="24"/>
        </w:rPr>
        <w:t>A</w:t>
      </w:r>
      <w:r w:rsidR="00EB6141" w:rsidRPr="00D11FC6">
        <w:rPr>
          <w:rFonts w:ascii="Arial" w:hAnsi="Arial" w:cs="Arial"/>
          <w:sz w:val="24"/>
          <w:szCs w:val="24"/>
        </w:rPr>
        <w:t>ssurance</w:t>
      </w:r>
      <w:r w:rsidRPr="00D11FC6">
        <w:rPr>
          <w:rFonts w:ascii="Arial" w:hAnsi="Arial" w:cs="Arial"/>
          <w:sz w:val="24"/>
          <w:szCs w:val="24"/>
        </w:rPr>
        <w:t xml:space="preserve"> processes and procedures, as amended in order to fully encompass all sub-contracted activity.</w:t>
      </w:r>
    </w:p>
    <w:p w14:paraId="7025678C" w14:textId="77777777" w:rsidR="00D11FC6" w:rsidRPr="00D11FC6" w:rsidRDefault="00D11FC6" w:rsidP="00D11FC6">
      <w:pPr>
        <w:pStyle w:val="ListParagraph"/>
        <w:jc w:val="both"/>
        <w:rPr>
          <w:rFonts w:ascii="Arial" w:hAnsi="Arial" w:cs="Arial"/>
          <w:sz w:val="24"/>
          <w:szCs w:val="24"/>
        </w:rPr>
      </w:pPr>
    </w:p>
    <w:p w14:paraId="033CC2FB" w14:textId="2E9241D7" w:rsidR="00172ADA" w:rsidRPr="00D11FC6" w:rsidRDefault="003D5067" w:rsidP="00D11FC6">
      <w:pPr>
        <w:pStyle w:val="ListParagraph"/>
        <w:numPr>
          <w:ilvl w:val="0"/>
          <w:numId w:val="14"/>
        </w:numPr>
        <w:jc w:val="both"/>
        <w:rPr>
          <w:rFonts w:ascii="Arial" w:hAnsi="Arial" w:cs="Arial"/>
          <w:sz w:val="24"/>
        </w:rPr>
      </w:pPr>
      <w:r w:rsidRPr="00D11FC6">
        <w:rPr>
          <w:rFonts w:ascii="Arial" w:hAnsi="Arial" w:cs="Arial"/>
          <w:sz w:val="24"/>
        </w:rPr>
        <w:t xml:space="preserve">This Policy positions sub-contracted provision as a core part of </w:t>
      </w:r>
      <w:r w:rsidR="00AD27A0" w:rsidRPr="00D11FC6">
        <w:rPr>
          <w:rFonts w:ascii="Arial" w:hAnsi="Arial" w:cs="Arial"/>
          <w:sz w:val="24"/>
        </w:rPr>
        <w:t>TBCG</w:t>
      </w:r>
      <w:r w:rsidR="00EB6141" w:rsidRPr="00D11FC6">
        <w:rPr>
          <w:rFonts w:ascii="Arial" w:hAnsi="Arial" w:cs="Arial"/>
          <w:sz w:val="24"/>
        </w:rPr>
        <w:t>s</w:t>
      </w:r>
      <w:r w:rsidRPr="00D11FC6">
        <w:rPr>
          <w:rFonts w:ascii="Arial" w:hAnsi="Arial" w:cs="Arial"/>
          <w:sz w:val="24"/>
        </w:rPr>
        <w:t xml:space="preserve"> activity to enable continuous improvements in the quality of teaching and learning for both</w:t>
      </w:r>
      <w:r w:rsidR="00B934C7" w:rsidRPr="00D11FC6">
        <w:rPr>
          <w:rFonts w:ascii="Arial" w:hAnsi="Arial" w:cs="Arial"/>
          <w:sz w:val="24"/>
        </w:rPr>
        <w:t>,</w:t>
      </w:r>
      <w:r w:rsidRPr="00D11FC6">
        <w:rPr>
          <w:rFonts w:ascii="Arial" w:hAnsi="Arial" w:cs="Arial"/>
          <w:sz w:val="24"/>
        </w:rPr>
        <w:t xml:space="preserve"> </w:t>
      </w:r>
      <w:r w:rsidR="00AD27A0" w:rsidRPr="00D11FC6">
        <w:rPr>
          <w:rFonts w:ascii="Arial" w:hAnsi="Arial" w:cs="Arial"/>
          <w:sz w:val="24"/>
        </w:rPr>
        <w:t>TBCG</w:t>
      </w:r>
      <w:r w:rsidRPr="00D11FC6">
        <w:rPr>
          <w:rFonts w:ascii="Arial" w:hAnsi="Arial" w:cs="Arial"/>
          <w:sz w:val="24"/>
        </w:rPr>
        <w:t xml:space="preserve"> and its sub-contractors. This will be achieved through the sharing of effective practice across the supply chain, for example through observations of teaching, learning and assessment, through the analysis and action plans of external quality reports and through the Self-Assessment Report and the Quality Improvement processes.</w:t>
      </w:r>
    </w:p>
    <w:p w14:paraId="188C0373" w14:textId="77777777" w:rsidR="00172ADA" w:rsidRPr="00502984" w:rsidRDefault="00172ADA" w:rsidP="00D11FC6">
      <w:pPr>
        <w:spacing w:after="80" w:line="240" w:lineRule="auto"/>
        <w:jc w:val="both"/>
        <w:rPr>
          <w:rFonts w:ascii="Arial" w:eastAsia="Calibri" w:hAnsi="Arial" w:cs="Arial"/>
          <w:b/>
          <w:sz w:val="24"/>
          <w:szCs w:val="24"/>
        </w:rPr>
      </w:pPr>
      <w:r w:rsidRPr="00502984">
        <w:rPr>
          <w:rFonts w:ascii="Arial" w:eastAsia="Calibri" w:hAnsi="Arial" w:cs="Arial"/>
          <w:b/>
          <w:sz w:val="24"/>
          <w:szCs w:val="24"/>
        </w:rPr>
        <w:t>Publication of information relating to sub-contracting</w:t>
      </w:r>
    </w:p>
    <w:p w14:paraId="4AEB76E0" w14:textId="660263A9" w:rsidR="003B5E90" w:rsidRDefault="00172ADA" w:rsidP="00D11FC6">
      <w:pPr>
        <w:pStyle w:val="ListParagraph"/>
        <w:numPr>
          <w:ilvl w:val="0"/>
          <w:numId w:val="14"/>
        </w:numPr>
        <w:jc w:val="both"/>
        <w:rPr>
          <w:rFonts w:ascii="Arial" w:hAnsi="Arial" w:cs="Arial"/>
          <w:sz w:val="24"/>
        </w:rPr>
      </w:pPr>
      <w:r w:rsidRPr="00D11FC6">
        <w:rPr>
          <w:rFonts w:ascii="Arial" w:hAnsi="Arial" w:cs="Arial"/>
          <w:sz w:val="24"/>
        </w:rPr>
        <w:t xml:space="preserve">In compliance with </w:t>
      </w:r>
      <w:r w:rsidR="003B5E90" w:rsidRPr="00D11FC6">
        <w:rPr>
          <w:rFonts w:ascii="Arial" w:hAnsi="Arial" w:cs="Arial"/>
          <w:sz w:val="24"/>
        </w:rPr>
        <w:t>ESFA</w:t>
      </w:r>
      <w:r w:rsidR="004B4D2E" w:rsidRPr="00D11FC6">
        <w:rPr>
          <w:rFonts w:ascii="Arial" w:hAnsi="Arial" w:cs="Arial"/>
          <w:sz w:val="24"/>
        </w:rPr>
        <w:t xml:space="preserve"> funding rules that apply, </w:t>
      </w:r>
      <w:r w:rsidR="00AD27A0" w:rsidRPr="00D11FC6">
        <w:rPr>
          <w:rFonts w:ascii="Arial" w:hAnsi="Arial" w:cs="Arial"/>
          <w:sz w:val="24"/>
        </w:rPr>
        <w:t>TBCG</w:t>
      </w:r>
      <w:r w:rsidRPr="00D11FC6">
        <w:rPr>
          <w:rFonts w:ascii="Arial" w:hAnsi="Arial" w:cs="Arial"/>
          <w:sz w:val="24"/>
        </w:rPr>
        <w:t xml:space="preserve"> will publish its provision sub-contracting fees and charges policy on its website before the start of each academic year and will publish actual end</w:t>
      </w:r>
      <w:r w:rsidR="26767CCA" w:rsidRPr="00D11FC6">
        <w:rPr>
          <w:rFonts w:ascii="Arial" w:hAnsi="Arial" w:cs="Arial"/>
          <w:sz w:val="24"/>
        </w:rPr>
        <w:t xml:space="preserve"> </w:t>
      </w:r>
      <w:r w:rsidRPr="00D11FC6">
        <w:rPr>
          <w:rFonts w:ascii="Arial" w:hAnsi="Arial" w:cs="Arial"/>
          <w:sz w:val="24"/>
        </w:rPr>
        <w:t>of</w:t>
      </w:r>
      <w:r w:rsidR="7847E746" w:rsidRPr="00D11FC6">
        <w:rPr>
          <w:rFonts w:ascii="Arial" w:hAnsi="Arial" w:cs="Arial"/>
          <w:sz w:val="24"/>
        </w:rPr>
        <w:t xml:space="preserve"> </w:t>
      </w:r>
      <w:r w:rsidRPr="00D11FC6">
        <w:rPr>
          <w:rFonts w:ascii="Arial" w:hAnsi="Arial" w:cs="Arial"/>
          <w:sz w:val="24"/>
        </w:rPr>
        <w:t xml:space="preserve">year subcontracting fees and charges on its website as required by </w:t>
      </w:r>
      <w:r w:rsidR="003B5E90" w:rsidRPr="00D11FC6">
        <w:rPr>
          <w:rFonts w:ascii="Arial" w:hAnsi="Arial" w:cs="Arial"/>
          <w:sz w:val="24"/>
        </w:rPr>
        <w:t>E</w:t>
      </w:r>
      <w:r w:rsidRPr="00D11FC6">
        <w:rPr>
          <w:rFonts w:ascii="Arial" w:hAnsi="Arial" w:cs="Arial"/>
          <w:sz w:val="24"/>
        </w:rPr>
        <w:t xml:space="preserve">SFA.  </w:t>
      </w:r>
    </w:p>
    <w:p w14:paraId="04B649B4" w14:textId="77777777" w:rsidR="00D11FC6" w:rsidRPr="00D11FC6" w:rsidRDefault="00D11FC6" w:rsidP="00D11FC6">
      <w:pPr>
        <w:pStyle w:val="ListParagraph"/>
        <w:jc w:val="both"/>
        <w:rPr>
          <w:rFonts w:ascii="Arial" w:hAnsi="Arial" w:cs="Arial"/>
          <w:sz w:val="24"/>
        </w:rPr>
      </w:pPr>
    </w:p>
    <w:p w14:paraId="463C4C70" w14:textId="2259B580" w:rsidR="00172ADA" w:rsidRPr="00DB56CA" w:rsidRDefault="00AD27A0" w:rsidP="00D11FC6">
      <w:pPr>
        <w:pStyle w:val="ListParagraph"/>
        <w:numPr>
          <w:ilvl w:val="0"/>
          <w:numId w:val="14"/>
        </w:numPr>
        <w:jc w:val="both"/>
        <w:rPr>
          <w:rFonts w:ascii="Arial" w:hAnsi="Arial" w:cs="Arial"/>
          <w:sz w:val="24"/>
        </w:rPr>
      </w:pPr>
      <w:r w:rsidRPr="00D11FC6">
        <w:rPr>
          <w:rFonts w:ascii="Arial" w:hAnsi="Arial" w:cs="Arial"/>
          <w:sz w:val="24"/>
        </w:rPr>
        <w:t>TBCG</w:t>
      </w:r>
      <w:r w:rsidR="00172ADA" w:rsidRPr="00D11FC6">
        <w:rPr>
          <w:rFonts w:ascii="Arial" w:hAnsi="Arial" w:cs="Arial"/>
          <w:sz w:val="24"/>
        </w:rPr>
        <w:t xml:space="preserve"> will ensure all actual and potential sub-contractors have sight of this policy </w:t>
      </w:r>
      <w:r w:rsidR="00EB6141" w:rsidRPr="00D11FC6">
        <w:rPr>
          <w:rFonts w:ascii="Arial" w:hAnsi="Arial" w:cs="Arial"/>
          <w:sz w:val="24"/>
        </w:rPr>
        <w:t xml:space="preserve">via the website </w:t>
      </w:r>
      <w:r w:rsidR="00172ADA" w:rsidRPr="00D11FC6">
        <w:rPr>
          <w:rFonts w:ascii="Arial" w:hAnsi="Arial" w:cs="Arial"/>
          <w:sz w:val="24"/>
        </w:rPr>
        <w:t xml:space="preserve">and any other relevant documents, such as the Fees and Charges </w:t>
      </w:r>
      <w:r w:rsidR="00172ADA" w:rsidRPr="00DB56CA">
        <w:rPr>
          <w:rFonts w:ascii="Arial" w:hAnsi="Arial" w:cs="Arial"/>
          <w:sz w:val="24"/>
        </w:rPr>
        <w:t>Risk Factor Table</w:t>
      </w:r>
      <w:r w:rsidR="00EB6141" w:rsidRPr="00DB56CA">
        <w:rPr>
          <w:rFonts w:ascii="Arial" w:hAnsi="Arial" w:cs="Arial"/>
          <w:sz w:val="24"/>
        </w:rPr>
        <w:t xml:space="preserve"> will be shared</w:t>
      </w:r>
      <w:r w:rsidR="00172ADA" w:rsidRPr="00DB56CA">
        <w:rPr>
          <w:rFonts w:ascii="Arial" w:hAnsi="Arial" w:cs="Arial"/>
          <w:sz w:val="24"/>
        </w:rPr>
        <w:t>.</w:t>
      </w:r>
    </w:p>
    <w:p w14:paraId="36146D5B" w14:textId="4BA2069E" w:rsidR="00172ADA" w:rsidRPr="00DB56CA" w:rsidRDefault="00172ADA" w:rsidP="00DB56CA">
      <w:pPr>
        <w:spacing w:after="80" w:line="240" w:lineRule="auto"/>
        <w:jc w:val="both"/>
        <w:rPr>
          <w:rFonts w:ascii="Arial" w:eastAsia="Calibri" w:hAnsi="Arial" w:cs="Arial"/>
          <w:b/>
          <w:sz w:val="24"/>
          <w:szCs w:val="24"/>
        </w:rPr>
      </w:pPr>
      <w:r w:rsidRPr="00DB56CA">
        <w:rPr>
          <w:rFonts w:ascii="Arial" w:eastAsia="Calibri" w:hAnsi="Arial" w:cs="Arial"/>
          <w:b/>
          <w:sz w:val="24"/>
          <w:szCs w:val="24"/>
        </w:rPr>
        <w:t xml:space="preserve">Fees and Charges </w:t>
      </w:r>
    </w:p>
    <w:p w14:paraId="516F65EB" w14:textId="3F21B874" w:rsidR="00DB56CA" w:rsidRPr="00DB56CA" w:rsidRDefault="00DB56CA" w:rsidP="00DB56CA">
      <w:pPr>
        <w:pStyle w:val="ListParagraph"/>
        <w:numPr>
          <w:ilvl w:val="0"/>
          <w:numId w:val="14"/>
        </w:numPr>
        <w:jc w:val="both"/>
        <w:rPr>
          <w:rFonts w:ascii="Arial" w:hAnsi="Arial" w:cs="Arial"/>
          <w:color w:val="FF0000"/>
          <w:sz w:val="24"/>
        </w:rPr>
      </w:pPr>
      <w:r w:rsidRPr="00DB56CA">
        <w:rPr>
          <w:rFonts w:ascii="Arial" w:hAnsi="Arial" w:cs="Arial"/>
          <w:sz w:val="24"/>
        </w:rPr>
        <w:t>The College makes a charge of 20% of the full contracted value as a management fee for its sub-contracted provision. Th</w:t>
      </w:r>
      <w:r>
        <w:rPr>
          <w:rFonts w:ascii="Arial" w:hAnsi="Arial" w:cs="Arial"/>
          <w:sz w:val="24"/>
        </w:rPr>
        <w:t xml:space="preserve">is charge covers the costs required to monitor and support this </w:t>
      </w:r>
      <w:r w:rsidRPr="00DB56CA">
        <w:rPr>
          <w:rFonts w:ascii="Arial" w:hAnsi="Arial" w:cs="Arial"/>
          <w:sz w:val="24"/>
        </w:rPr>
        <w:t xml:space="preserve">provision </w:t>
      </w:r>
      <w:r>
        <w:rPr>
          <w:rFonts w:ascii="Arial" w:hAnsi="Arial" w:cs="Arial"/>
          <w:sz w:val="24"/>
        </w:rPr>
        <w:t xml:space="preserve">effectively </w:t>
      </w:r>
      <w:r w:rsidR="007001D8">
        <w:rPr>
          <w:rFonts w:ascii="Arial" w:hAnsi="Arial" w:cs="Arial"/>
          <w:sz w:val="24"/>
        </w:rPr>
        <w:t>(</w:t>
      </w:r>
      <w:r w:rsidRPr="00DB56CA">
        <w:rPr>
          <w:rFonts w:ascii="Arial" w:hAnsi="Arial" w:cs="Arial"/>
          <w:sz w:val="24"/>
        </w:rPr>
        <w:t xml:space="preserve">see </w:t>
      </w:r>
      <w:r w:rsidR="007001D8">
        <w:rPr>
          <w:rFonts w:ascii="Arial" w:hAnsi="Arial" w:cs="Arial"/>
          <w:sz w:val="24"/>
        </w:rPr>
        <w:t>A</w:t>
      </w:r>
      <w:r w:rsidRPr="00DB56CA">
        <w:rPr>
          <w:rFonts w:ascii="Arial" w:hAnsi="Arial" w:cs="Arial"/>
          <w:sz w:val="24"/>
        </w:rPr>
        <w:t xml:space="preserve">ppendix A for </w:t>
      </w:r>
      <w:r w:rsidR="007001D8">
        <w:rPr>
          <w:rFonts w:ascii="Arial" w:hAnsi="Arial" w:cs="Arial"/>
          <w:sz w:val="24"/>
        </w:rPr>
        <w:t>breakdown)</w:t>
      </w:r>
      <w:r w:rsidRPr="00DB56CA">
        <w:rPr>
          <w:rFonts w:ascii="Arial" w:hAnsi="Arial" w:cs="Arial"/>
          <w:sz w:val="24"/>
        </w:rPr>
        <w:t xml:space="preserve">. </w:t>
      </w:r>
    </w:p>
    <w:p w14:paraId="0EC02C6B" w14:textId="77777777" w:rsidR="00DB56CA" w:rsidRPr="00DB56CA" w:rsidRDefault="00DB56CA" w:rsidP="00DB56CA">
      <w:pPr>
        <w:pStyle w:val="ListParagraph"/>
        <w:rPr>
          <w:rFonts w:ascii="Arial" w:hAnsi="Arial" w:cs="Arial"/>
          <w:color w:val="FF0000"/>
          <w:sz w:val="24"/>
        </w:rPr>
      </w:pPr>
    </w:p>
    <w:p w14:paraId="21A700EE" w14:textId="25543B31" w:rsidR="00172ADA" w:rsidRPr="00DB56CA" w:rsidRDefault="00DB56CA" w:rsidP="00D11FC6">
      <w:pPr>
        <w:pStyle w:val="ListParagraph"/>
        <w:numPr>
          <w:ilvl w:val="0"/>
          <w:numId w:val="14"/>
        </w:numPr>
        <w:rPr>
          <w:rFonts w:ascii="Arial" w:hAnsi="Arial" w:cs="Arial"/>
          <w:color w:val="FF0000"/>
          <w:sz w:val="24"/>
        </w:rPr>
      </w:pPr>
      <w:r w:rsidRPr="00DB56CA">
        <w:rPr>
          <w:rFonts w:ascii="Arial" w:hAnsi="Arial" w:cs="Arial"/>
          <w:sz w:val="24"/>
        </w:rPr>
        <w:t>The subcontractor will be responsible for meeting the costs associated with delivery of qualifications including the registration of candidates with awarding bodies and examination fees.</w:t>
      </w:r>
      <w:r w:rsidR="00D75ACB" w:rsidRPr="00DB56CA">
        <w:rPr>
          <w:rFonts w:ascii="Arial" w:hAnsi="Arial" w:cs="Arial"/>
          <w:color w:val="FF0000"/>
          <w:sz w:val="24"/>
        </w:rPr>
        <w:t xml:space="preserve"> </w:t>
      </w:r>
    </w:p>
    <w:p w14:paraId="1EDB6728" w14:textId="1A3A9A7B" w:rsidR="00172ADA" w:rsidRDefault="00172ADA" w:rsidP="00A610DA">
      <w:pPr>
        <w:spacing w:after="80" w:line="240" w:lineRule="auto"/>
        <w:jc w:val="both"/>
        <w:rPr>
          <w:rFonts w:ascii="Arial" w:eastAsia="Calibri" w:hAnsi="Arial" w:cs="Arial"/>
          <w:b/>
          <w:sz w:val="24"/>
          <w:szCs w:val="24"/>
        </w:rPr>
      </w:pPr>
      <w:r w:rsidRPr="00172ADA">
        <w:rPr>
          <w:rFonts w:ascii="Arial" w:eastAsia="Calibri" w:hAnsi="Arial" w:cs="Arial"/>
          <w:b/>
          <w:sz w:val="24"/>
          <w:szCs w:val="24"/>
        </w:rPr>
        <w:t>Payment Terms</w:t>
      </w:r>
    </w:p>
    <w:p w14:paraId="5545277D" w14:textId="77777777" w:rsidR="00A610DA" w:rsidRPr="00172ADA" w:rsidRDefault="00A610DA" w:rsidP="00A610DA">
      <w:pPr>
        <w:spacing w:after="80" w:line="240" w:lineRule="auto"/>
        <w:jc w:val="both"/>
        <w:rPr>
          <w:rFonts w:ascii="Arial" w:eastAsia="Calibri" w:hAnsi="Arial" w:cs="Arial"/>
          <w:b/>
          <w:sz w:val="24"/>
          <w:szCs w:val="24"/>
        </w:rPr>
      </w:pPr>
    </w:p>
    <w:p w14:paraId="2E10CF13" w14:textId="77777777" w:rsidR="007001D8" w:rsidRDefault="00172ADA" w:rsidP="00D11FC6">
      <w:pPr>
        <w:pStyle w:val="ListParagraph"/>
        <w:numPr>
          <w:ilvl w:val="0"/>
          <w:numId w:val="14"/>
        </w:numPr>
        <w:jc w:val="both"/>
        <w:rPr>
          <w:rFonts w:ascii="Arial" w:hAnsi="Arial" w:cs="Arial"/>
          <w:sz w:val="24"/>
          <w:szCs w:val="24"/>
        </w:rPr>
      </w:pPr>
      <w:r w:rsidRPr="00D11FC6">
        <w:rPr>
          <w:rFonts w:ascii="Arial" w:eastAsia="Calibri" w:hAnsi="Arial" w:cs="Arial"/>
          <w:color w:val="000000"/>
          <w:sz w:val="24"/>
          <w:szCs w:val="24"/>
        </w:rPr>
        <w:t>Payment te</w:t>
      </w:r>
      <w:r w:rsidR="004B4D2E" w:rsidRPr="00D11FC6">
        <w:rPr>
          <w:rFonts w:ascii="Arial" w:eastAsia="Calibri" w:hAnsi="Arial" w:cs="Arial"/>
          <w:color w:val="000000"/>
          <w:sz w:val="24"/>
          <w:szCs w:val="24"/>
        </w:rPr>
        <w:t xml:space="preserve">rms will be agreed between </w:t>
      </w:r>
      <w:r w:rsidR="00AD27A0" w:rsidRPr="00D11FC6">
        <w:rPr>
          <w:rFonts w:ascii="Arial" w:eastAsia="Calibri" w:hAnsi="Arial" w:cs="Arial"/>
          <w:color w:val="000000"/>
          <w:sz w:val="24"/>
          <w:szCs w:val="24"/>
        </w:rPr>
        <w:t>TBCG</w:t>
      </w:r>
      <w:r w:rsidRPr="00D11FC6">
        <w:rPr>
          <w:rFonts w:ascii="Arial" w:eastAsia="Calibri" w:hAnsi="Arial" w:cs="Arial"/>
          <w:color w:val="000000"/>
          <w:sz w:val="24"/>
          <w:szCs w:val="24"/>
        </w:rPr>
        <w:t xml:space="preserve"> and subcontractor for timing of payments in relation to allocated profile and the timescale for paying retained audit payments</w:t>
      </w:r>
      <w:r w:rsidRPr="00D11FC6">
        <w:rPr>
          <w:rFonts w:ascii="Arial" w:hAnsi="Arial" w:cs="Arial"/>
          <w:sz w:val="24"/>
          <w:szCs w:val="24"/>
        </w:rPr>
        <w:t xml:space="preserve">.  </w:t>
      </w:r>
    </w:p>
    <w:p w14:paraId="48EF9FF6" w14:textId="77777777" w:rsidR="007001D8" w:rsidRDefault="007001D8" w:rsidP="007001D8">
      <w:pPr>
        <w:pStyle w:val="ListParagraph"/>
        <w:jc w:val="both"/>
        <w:rPr>
          <w:rFonts w:ascii="Arial" w:hAnsi="Arial" w:cs="Arial"/>
          <w:sz w:val="24"/>
          <w:szCs w:val="24"/>
        </w:rPr>
      </w:pPr>
    </w:p>
    <w:p w14:paraId="51EBF1AA" w14:textId="77777777" w:rsidR="007001D8" w:rsidRDefault="00172ADA" w:rsidP="00D11FC6">
      <w:pPr>
        <w:pStyle w:val="ListParagraph"/>
        <w:numPr>
          <w:ilvl w:val="0"/>
          <w:numId w:val="14"/>
        </w:numPr>
        <w:jc w:val="both"/>
        <w:rPr>
          <w:rFonts w:ascii="Arial" w:hAnsi="Arial" w:cs="Arial"/>
          <w:sz w:val="24"/>
          <w:szCs w:val="24"/>
        </w:rPr>
      </w:pPr>
      <w:r w:rsidRPr="00D11FC6">
        <w:rPr>
          <w:rFonts w:ascii="Arial" w:hAnsi="Arial" w:cs="Arial"/>
          <w:sz w:val="24"/>
          <w:szCs w:val="24"/>
        </w:rPr>
        <w:t xml:space="preserve">On-programme payments will be calculated monthly based on learners as detailed in the </w:t>
      </w:r>
      <w:r w:rsidR="003B5E90" w:rsidRPr="00D11FC6">
        <w:rPr>
          <w:rFonts w:ascii="Arial" w:hAnsi="Arial" w:cs="Arial"/>
          <w:sz w:val="24"/>
          <w:szCs w:val="24"/>
        </w:rPr>
        <w:t xml:space="preserve">CIS Funding reports on </w:t>
      </w:r>
      <w:r w:rsidR="00AD27A0" w:rsidRPr="00D11FC6">
        <w:rPr>
          <w:rFonts w:ascii="Arial" w:hAnsi="Arial" w:cs="Arial"/>
          <w:sz w:val="24"/>
          <w:szCs w:val="24"/>
        </w:rPr>
        <w:t>TBCG</w:t>
      </w:r>
      <w:r w:rsidR="003D5067" w:rsidRPr="00D11FC6">
        <w:rPr>
          <w:rFonts w:ascii="Arial" w:hAnsi="Arial" w:cs="Arial"/>
          <w:sz w:val="24"/>
          <w:szCs w:val="24"/>
        </w:rPr>
        <w:t>’s</w:t>
      </w:r>
      <w:r w:rsidR="003B5E90" w:rsidRPr="00D11FC6">
        <w:rPr>
          <w:rFonts w:ascii="Arial" w:hAnsi="Arial" w:cs="Arial"/>
          <w:sz w:val="24"/>
          <w:szCs w:val="24"/>
        </w:rPr>
        <w:t xml:space="preserve"> dashboard</w:t>
      </w:r>
      <w:r w:rsidRPr="00D11FC6">
        <w:rPr>
          <w:rFonts w:ascii="Arial" w:hAnsi="Arial" w:cs="Arial"/>
          <w:sz w:val="24"/>
          <w:szCs w:val="24"/>
        </w:rPr>
        <w:t xml:space="preserve">. </w:t>
      </w:r>
    </w:p>
    <w:p w14:paraId="63A2D6A1" w14:textId="77777777" w:rsidR="007001D8" w:rsidRPr="007001D8" w:rsidRDefault="007001D8" w:rsidP="007001D8">
      <w:pPr>
        <w:pStyle w:val="ListParagraph"/>
        <w:rPr>
          <w:rFonts w:ascii="Arial" w:hAnsi="Arial" w:cs="Arial"/>
          <w:sz w:val="24"/>
          <w:szCs w:val="24"/>
        </w:rPr>
      </w:pPr>
    </w:p>
    <w:p w14:paraId="621121F3" w14:textId="28975D88" w:rsidR="00172ADA" w:rsidRPr="00D11FC6" w:rsidRDefault="00172ADA" w:rsidP="00D11FC6">
      <w:pPr>
        <w:pStyle w:val="ListParagraph"/>
        <w:numPr>
          <w:ilvl w:val="0"/>
          <w:numId w:val="14"/>
        </w:numPr>
        <w:jc w:val="both"/>
        <w:rPr>
          <w:rFonts w:ascii="Arial" w:hAnsi="Arial" w:cs="Arial"/>
          <w:sz w:val="24"/>
          <w:szCs w:val="24"/>
        </w:rPr>
      </w:pPr>
      <w:r w:rsidRPr="00D11FC6">
        <w:rPr>
          <w:rFonts w:ascii="Arial" w:hAnsi="Arial" w:cs="Arial"/>
          <w:sz w:val="24"/>
          <w:szCs w:val="24"/>
        </w:rPr>
        <w:t xml:space="preserve">Achievement payments will be made on successful completion as detailed in the PFR.  The 10% retained payment for each completed learner will be paid at the end of the month following that in which </w:t>
      </w:r>
      <w:r w:rsidR="007001D8">
        <w:rPr>
          <w:rFonts w:ascii="Arial" w:hAnsi="Arial" w:cs="Arial"/>
          <w:sz w:val="24"/>
          <w:szCs w:val="24"/>
        </w:rPr>
        <w:t>TBCG</w:t>
      </w:r>
      <w:r w:rsidR="003D5067" w:rsidRPr="00D11FC6">
        <w:rPr>
          <w:rFonts w:ascii="Arial" w:hAnsi="Arial" w:cs="Arial"/>
          <w:sz w:val="24"/>
          <w:szCs w:val="24"/>
        </w:rPr>
        <w:t xml:space="preserve"> </w:t>
      </w:r>
      <w:r w:rsidRPr="00D11FC6">
        <w:rPr>
          <w:rFonts w:ascii="Arial" w:hAnsi="Arial" w:cs="Arial"/>
          <w:sz w:val="24"/>
          <w:szCs w:val="24"/>
        </w:rPr>
        <w:t xml:space="preserve">and / or </w:t>
      </w:r>
      <w:r w:rsidR="003B5E90" w:rsidRPr="00D11FC6">
        <w:rPr>
          <w:rFonts w:ascii="Arial" w:hAnsi="Arial" w:cs="Arial"/>
          <w:sz w:val="24"/>
          <w:szCs w:val="24"/>
        </w:rPr>
        <w:t>ESFA</w:t>
      </w:r>
      <w:r w:rsidRPr="00D11FC6">
        <w:rPr>
          <w:rFonts w:ascii="Arial" w:hAnsi="Arial" w:cs="Arial"/>
          <w:sz w:val="24"/>
          <w:szCs w:val="24"/>
        </w:rPr>
        <w:t xml:space="preserve"> (as appropriate) has (in its sole opinion) successfully completed its audit of evidence retained at the Partner’s premises.</w:t>
      </w:r>
    </w:p>
    <w:p w14:paraId="43815DDB" w14:textId="77777777" w:rsidR="00A610DA" w:rsidRDefault="00A610DA" w:rsidP="00A610DA">
      <w:pPr>
        <w:pStyle w:val="ListParagraph"/>
        <w:jc w:val="both"/>
        <w:rPr>
          <w:rFonts w:ascii="Arial" w:hAnsi="Arial" w:cs="Arial"/>
          <w:sz w:val="24"/>
          <w:szCs w:val="24"/>
        </w:rPr>
      </w:pPr>
    </w:p>
    <w:p w14:paraId="14541A3B" w14:textId="5908D933" w:rsidR="00172ADA" w:rsidRPr="00D11FC6" w:rsidRDefault="00172ADA" w:rsidP="00D11FC6">
      <w:pPr>
        <w:pStyle w:val="ListParagraph"/>
        <w:numPr>
          <w:ilvl w:val="0"/>
          <w:numId w:val="14"/>
        </w:numPr>
        <w:jc w:val="both"/>
        <w:rPr>
          <w:rFonts w:ascii="Arial" w:hAnsi="Arial" w:cs="Arial"/>
          <w:sz w:val="24"/>
          <w:szCs w:val="24"/>
        </w:rPr>
      </w:pPr>
      <w:r w:rsidRPr="00D11FC6">
        <w:rPr>
          <w:rFonts w:ascii="Arial" w:hAnsi="Arial" w:cs="Arial"/>
          <w:sz w:val="24"/>
          <w:szCs w:val="24"/>
        </w:rPr>
        <w:t>A monthly reconciliation report wi</w:t>
      </w:r>
      <w:r w:rsidR="003D5067" w:rsidRPr="00D11FC6">
        <w:rPr>
          <w:rFonts w:ascii="Arial" w:hAnsi="Arial" w:cs="Arial"/>
          <w:sz w:val="24"/>
          <w:szCs w:val="24"/>
        </w:rPr>
        <w:t xml:space="preserve">ll be issued to the Partner by </w:t>
      </w:r>
      <w:r w:rsidR="00AD27A0" w:rsidRPr="00D11FC6">
        <w:rPr>
          <w:rFonts w:ascii="Arial" w:hAnsi="Arial" w:cs="Arial"/>
          <w:sz w:val="24"/>
          <w:szCs w:val="24"/>
        </w:rPr>
        <w:t>TBCG</w:t>
      </w:r>
      <w:r w:rsidR="003D5067" w:rsidRPr="00D11FC6">
        <w:rPr>
          <w:rFonts w:ascii="Arial" w:hAnsi="Arial" w:cs="Arial"/>
          <w:sz w:val="24"/>
          <w:szCs w:val="24"/>
        </w:rPr>
        <w:t xml:space="preserve"> </w:t>
      </w:r>
      <w:r w:rsidRPr="00D11FC6">
        <w:rPr>
          <w:rFonts w:ascii="Arial" w:hAnsi="Arial" w:cs="Arial"/>
          <w:sz w:val="24"/>
          <w:szCs w:val="24"/>
        </w:rPr>
        <w:t xml:space="preserve">on receipt of the </w:t>
      </w:r>
      <w:r w:rsidR="003B5E90" w:rsidRPr="00D11FC6">
        <w:rPr>
          <w:rFonts w:ascii="Arial" w:hAnsi="Arial" w:cs="Arial"/>
          <w:sz w:val="24"/>
          <w:szCs w:val="24"/>
        </w:rPr>
        <w:t>CIS Funding reports</w:t>
      </w:r>
      <w:r w:rsidRPr="00D11FC6">
        <w:rPr>
          <w:rFonts w:ascii="Arial" w:hAnsi="Arial" w:cs="Arial"/>
          <w:sz w:val="24"/>
          <w:szCs w:val="24"/>
        </w:rPr>
        <w:t xml:space="preserve"> to enable an accuracy check.  </w:t>
      </w:r>
    </w:p>
    <w:p w14:paraId="0C76E782" w14:textId="751FC1ED" w:rsidR="003B5E90" w:rsidRDefault="00172ADA" w:rsidP="00A610DA">
      <w:pPr>
        <w:spacing w:after="80" w:line="240" w:lineRule="auto"/>
        <w:jc w:val="both"/>
        <w:rPr>
          <w:rFonts w:ascii="Arial" w:eastAsia="Calibri" w:hAnsi="Arial" w:cs="Arial"/>
          <w:b/>
          <w:sz w:val="24"/>
          <w:szCs w:val="24"/>
        </w:rPr>
      </w:pPr>
      <w:r w:rsidRPr="00172ADA">
        <w:rPr>
          <w:rFonts w:ascii="Arial" w:eastAsia="Calibri" w:hAnsi="Arial" w:cs="Arial"/>
          <w:b/>
          <w:sz w:val="24"/>
          <w:szCs w:val="24"/>
        </w:rPr>
        <w:lastRenderedPageBreak/>
        <w:t>Communication</w:t>
      </w:r>
    </w:p>
    <w:p w14:paraId="3F9B3589" w14:textId="08EC6B37" w:rsidR="00EC2962" w:rsidRPr="00EC2962" w:rsidRDefault="00172ADA" w:rsidP="0071168D">
      <w:pPr>
        <w:pStyle w:val="ListParagraph"/>
        <w:numPr>
          <w:ilvl w:val="0"/>
          <w:numId w:val="14"/>
        </w:numPr>
        <w:jc w:val="both"/>
        <w:rPr>
          <w:rFonts w:ascii="Arial" w:hAnsi="Arial" w:cs="Arial"/>
          <w:color w:val="FF0000"/>
          <w:sz w:val="12"/>
          <w:szCs w:val="24"/>
        </w:rPr>
      </w:pPr>
      <w:r w:rsidRPr="00EC2962">
        <w:rPr>
          <w:rFonts w:ascii="Arial" w:hAnsi="Arial" w:cs="Arial"/>
          <w:sz w:val="24"/>
          <w:szCs w:val="24"/>
        </w:rPr>
        <w:t>This policy will be reviewed each summer term and updated as require</w:t>
      </w:r>
      <w:r w:rsidR="004B4D2E" w:rsidRPr="00EC2962">
        <w:rPr>
          <w:rFonts w:ascii="Arial" w:hAnsi="Arial" w:cs="Arial"/>
          <w:sz w:val="24"/>
          <w:szCs w:val="24"/>
        </w:rPr>
        <w:t xml:space="preserve">d. It will be published on </w:t>
      </w:r>
      <w:r w:rsidR="00AD27A0" w:rsidRPr="00EC2962">
        <w:rPr>
          <w:rFonts w:ascii="Arial" w:hAnsi="Arial" w:cs="Arial"/>
          <w:sz w:val="24"/>
          <w:szCs w:val="24"/>
        </w:rPr>
        <w:t>TBCG</w:t>
      </w:r>
      <w:r w:rsidRPr="00EC2962">
        <w:rPr>
          <w:rFonts w:ascii="Arial" w:hAnsi="Arial" w:cs="Arial"/>
          <w:sz w:val="24"/>
          <w:szCs w:val="24"/>
        </w:rPr>
        <w:t xml:space="preserve"> website during the </w:t>
      </w:r>
      <w:r w:rsidR="00EC2962">
        <w:rPr>
          <w:rFonts w:ascii="Arial" w:hAnsi="Arial" w:cs="Arial"/>
          <w:sz w:val="24"/>
          <w:szCs w:val="24"/>
        </w:rPr>
        <w:t>July</w:t>
      </w:r>
      <w:r w:rsidRPr="00EC2962">
        <w:rPr>
          <w:rFonts w:ascii="Arial" w:hAnsi="Arial" w:cs="Arial"/>
          <w:sz w:val="24"/>
          <w:szCs w:val="24"/>
        </w:rPr>
        <w:t xml:space="preserve"> prior to the start of the academic year in which it will be applied. Potential sub-contractors will be directed to it as the starting point in any relationship.</w:t>
      </w:r>
    </w:p>
    <w:p w14:paraId="7B1B022D" w14:textId="77777777" w:rsidR="00EC2962" w:rsidRDefault="00EC2962" w:rsidP="00EC2962">
      <w:pPr>
        <w:pStyle w:val="ListParagraph"/>
        <w:jc w:val="both"/>
        <w:rPr>
          <w:rFonts w:ascii="Arial" w:hAnsi="Arial" w:cs="Arial"/>
          <w:color w:val="FF0000"/>
          <w:sz w:val="12"/>
          <w:szCs w:val="24"/>
        </w:rPr>
      </w:pPr>
    </w:p>
    <w:p w14:paraId="76333BDF" w14:textId="77777777" w:rsidR="00EC2962" w:rsidRDefault="00EC2962" w:rsidP="00EC2962">
      <w:pPr>
        <w:pStyle w:val="ListParagraph"/>
        <w:jc w:val="both"/>
        <w:rPr>
          <w:rFonts w:ascii="Arial" w:hAnsi="Arial" w:cs="Arial"/>
          <w:color w:val="FF0000"/>
          <w:sz w:val="12"/>
          <w:szCs w:val="24"/>
        </w:rPr>
        <w:sectPr w:rsidR="00EC2962" w:rsidSect="009C6285">
          <w:footerReference w:type="default" r:id="rId12"/>
          <w:pgSz w:w="11906" w:h="16838"/>
          <w:pgMar w:top="851" w:right="1133" w:bottom="1276" w:left="1418" w:header="708" w:footer="708" w:gutter="0"/>
          <w:cols w:space="708"/>
          <w:docGrid w:linePitch="360"/>
        </w:sectPr>
      </w:pPr>
    </w:p>
    <w:p w14:paraId="05805831" w14:textId="38844552" w:rsidR="00D75ACB" w:rsidRPr="00EB7773" w:rsidRDefault="008862AB" w:rsidP="00EC2962">
      <w:pPr>
        <w:jc w:val="both"/>
        <w:rPr>
          <w:rFonts w:ascii="Arial" w:hAnsi="Arial" w:cs="Arial"/>
          <w:sz w:val="24"/>
          <w:szCs w:val="24"/>
        </w:rPr>
      </w:pPr>
      <w:r w:rsidRPr="00EB7773">
        <w:rPr>
          <w:rFonts w:ascii="Arial" w:hAnsi="Arial" w:cs="Arial"/>
          <w:sz w:val="24"/>
          <w:szCs w:val="24"/>
        </w:rPr>
        <w:lastRenderedPageBreak/>
        <w:t>Appen</w:t>
      </w:r>
      <w:r w:rsidR="00D75ACB" w:rsidRPr="00EB7773">
        <w:rPr>
          <w:rFonts w:ascii="Arial" w:hAnsi="Arial" w:cs="Arial"/>
          <w:sz w:val="24"/>
          <w:szCs w:val="24"/>
        </w:rPr>
        <w:t xml:space="preserve">dix </w:t>
      </w:r>
      <w:r w:rsidR="00DB56CA">
        <w:rPr>
          <w:rFonts w:ascii="Arial" w:hAnsi="Arial" w:cs="Arial"/>
          <w:sz w:val="24"/>
          <w:szCs w:val="24"/>
        </w:rPr>
        <w:t>A</w:t>
      </w:r>
    </w:p>
    <w:p w14:paraId="5CF1B183" w14:textId="2385F73D" w:rsidR="00D75ACB" w:rsidRPr="00EB7773" w:rsidRDefault="00D75ACB" w:rsidP="004B4D2E">
      <w:pPr>
        <w:jc w:val="both"/>
        <w:rPr>
          <w:rFonts w:ascii="Arial" w:hAnsi="Arial" w:cs="Arial"/>
          <w:sz w:val="24"/>
          <w:szCs w:val="24"/>
        </w:rPr>
      </w:pPr>
      <w:r w:rsidRPr="00EB7773">
        <w:rPr>
          <w:rFonts w:ascii="Arial" w:eastAsia="Calibri" w:hAnsi="Arial" w:cs="Arial"/>
          <w:sz w:val="24"/>
          <w:szCs w:val="24"/>
        </w:rPr>
        <w:t>Fees and Charges</w:t>
      </w:r>
      <w:r w:rsidRPr="00EB7773">
        <w:rPr>
          <w:rFonts w:ascii="Arial" w:hAnsi="Arial" w:cs="Arial"/>
          <w:sz w:val="24"/>
          <w:szCs w:val="24"/>
        </w:rPr>
        <w:t xml:space="preserve"> breakdown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25"/>
        <w:gridCol w:w="7698"/>
      </w:tblGrid>
      <w:tr w:rsidR="00E05C5E" w:rsidRPr="00EB7773" w14:paraId="39B64A24" w14:textId="77777777" w:rsidTr="00E05C5E">
        <w:trPr>
          <w:trHeight w:val="300"/>
        </w:trPr>
        <w:tc>
          <w:tcPr>
            <w:tcW w:w="4531" w:type="dxa"/>
            <w:shd w:val="clear" w:color="auto" w:fill="auto"/>
            <w:noWrap/>
            <w:vAlign w:val="center"/>
            <w:hideMark/>
          </w:tcPr>
          <w:p w14:paraId="19255461" w14:textId="77777777" w:rsidR="00E05C5E" w:rsidRPr="00EB7773" w:rsidRDefault="00E05C5E" w:rsidP="00446C09">
            <w:pPr>
              <w:spacing w:after="0" w:line="240" w:lineRule="auto"/>
              <w:rPr>
                <w:rFonts w:ascii="Arial" w:eastAsia="Times New Roman" w:hAnsi="Arial" w:cs="Arial"/>
                <w:b/>
                <w:bCs/>
                <w:sz w:val="24"/>
                <w:szCs w:val="24"/>
                <w:lang w:eastAsia="en-GB"/>
              </w:rPr>
            </w:pPr>
            <w:r w:rsidRPr="00EB7773">
              <w:rPr>
                <w:rFonts w:ascii="Arial" w:eastAsia="Times New Roman" w:hAnsi="Arial" w:cs="Arial"/>
                <w:b/>
                <w:bCs/>
                <w:sz w:val="24"/>
                <w:szCs w:val="24"/>
                <w:lang w:eastAsia="en-GB"/>
              </w:rPr>
              <w:t>Expenditure item</w:t>
            </w:r>
          </w:p>
        </w:tc>
        <w:tc>
          <w:tcPr>
            <w:tcW w:w="2225" w:type="dxa"/>
          </w:tcPr>
          <w:p w14:paraId="561A37EE" w14:textId="3200252D" w:rsidR="00E05C5E" w:rsidRPr="00EB7773" w:rsidRDefault="00E05C5E" w:rsidP="00446C09">
            <w:pPr>
              <w:spacing w:after="0" w:line="240" w:lineRule="auto"/>
              <w:jc w:val="center"/>
              <w:rPr>
                <w:rFonts w:ascii="Arial" w:eastAsia="Times New Roman" w:hAnsi="Arial" w:cs="Arial"/>
                <w:b/>
                <w:bCs/>
                <w:sz w:val="24"/>
                <w:szCs w:val="24"/>
                <w:lang w:eastAsia="en-GB"/>
              </w:rPr>
            </w:pPr>
            <w:r w:rsidRPr="00EB7773">
              <w:rPr>
                <w:rFonts w:ascii="Arial" w:eastAsia="Times New Roman" w:hAnsi="Arial" w:cs="Arial"/>
                <w:b/>
                <w:bCs/>
                <w:sz w:val="24"/>
                <w:szCs w:val="24"/>
                <w:lang w:eastAsia="en-GB"/>
              </w:rPr>
              <w:t>Category</w:t>
            </w:r>
          </w:p>
        </w:tc>
        <w:tc>
          <w:tcPr>
            <w:tcW w:w="7698" w:type="dxa"/>
            <w:shd w:val="clear" w:color="auto" w:fill="auto"/>
            <w:vAlign w:val="center"/>
            <w:hideMark/>
          </w:tcPr>
          <w:p w14:paraId="79DD4BEA" w14:textId="77777777" w:rsidR="00E05C5E" w:rsidRPr="00EB7773" w:rsidRDefault="00E05C5E" w:rsidP="00446C09">
            <w:pPr>
              <w:spacing w:after="0" w:line="240" w:lineRule="auto"/>
              <w:jc w:val="center"/>
              <w:rPr>
                <w:rFonts w:ascii="Arial" w:eastAsia="Times New Roman" w:hAnsi="Arial" w:cs="Arial"/>
                <w:b/>
                <w:bCs/>
                <w:sz w:val="24"/>
                <w:szCs w:val="24"/>
                <w:lang w:eastAsia="en-GB"/>
              </w:rPr>
            </w:pPr>
            <w:r w:rsidRPr="00EB7773">
              <w:rPr>
                <w:rFonts w:ascii="Arial" w:eastAsia="Times New Roman" w:hAnsi="Arial" w:cs="Arial"/>
                <w:b/>
                <w:bCs/>
                <w:sz w:val="24"/>
                <w:szCs w:val="24"/>
                <w:lang w:eastAsia="en-GB"/>
              </w:rPr>
              <w:t>Explanation</w:t>
            </w:r>
          </w:p>
        </w:tc>
      </w:tr>
      <w:tr w:rsidR="00E05C5E" w:rsidRPr="00EB7773" w14:paraId="37E6004D" w14:textId="77777777" w:rsidTr="00E05C5E">
        <w:trPr>
          <w:trHeight w:val="98"/>
        </w:trPr>
        <w:tc>
          <w:tcPr>
            <w:tcW w:w="4531" w:type="dxa"/>
            <w:shd w:val="clear" w:color="auto" w:fill="auto"/>
            <w:noWrap/>
            <w:vAlign w:val="center"/>
            <w:hideMark/>
          </w:tcPr>
          <w:p w14:paraId="214723EB" w14:textId="77777777" w:rsidR="00E05C5E" w:rsidRPr="00EB7773" w:rsidRDefault="00E05C5E" w:rsidP="00446C09">
            <w:pPr>
              <w:spacing w:after="0" w:line="240" w:lineRule="auto"/>
              <w:rPr>
                <w:rFonts w:ascii="Arial" w:eastAsia="Times New Roman" w:hAnsi="Arial" w:cs="Arial"/>
                <w:sz w:val="24"/>
                <w:szCs w:val="24"/>
                <w:lang w:eastAsia="en-GB"/>
              </w:rPr>
            </w:pPr>
            <w:bookmarkStart w:id="1" w:name="_Hlk81391293"/>
            <w:r w:rsidRPr="00EB7773">
              <w:rPr>
                <w:rFonts w:ascii="Arial" w:eastAsia="Times New Roman" w:hAnsi="Arial" w:cs="Arial"/>
                <w:sz w:val="24"/>
                <w:szCs w:val="24"/>
                <w:lang w:eastAsia="en-GB"/>
              </w:rPr>
              <w:t>Contract Management meetings</w:t>
            </w:r>
          </w:p>
        </w:tc>
        <w:tc>
          <w:tcPr>
            <w:tcW w:w="2225" w:type="dxa"/>
          </w:tcPr>
          <w:p w14:paraId="2E975D91" w14:textId="7F3300E6"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 xml:space="preserve">Administrative Functions </w:t>
            </w:r>
          </w:p>
        </w:tc>
        <w:tc>
          <w:tcPr>
            <w:tcW w:w="7698" w:type="dxa"/>
            <w:shd w:val="clear" w:color="auto" w:fill="auto"/>
            <w:hideMark/>
          </w:tcPr>
          <w:p w14:paraId="25688616"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Performance management meeting to discuss progress and highlight and issues/challenges</w:t>
            </w:r>
          </w:p>
          <w:p w14:paraId="5B507003" w14:textId="54503E07"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5AE16A9B" w14:textId="77777777" w:rsidTr="00E05C5E">
        <w:trPr>
          <w:trHeight w:val="86"/>
        </w:trPr>
        <w:tc>
          <w:tcPr>
            <w:tcW w:w="4531" w:type="dxa"/>
            <w:shd w:val="clear" w:color="auto" w:fill="auto"/>
            <w:noWrap/>
            <w:vAlign w:val="center"/>
            <w:hideMark/>
          </w:tcPr>
          <w:p w14:paraId="0DA66251"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Finance processing costs</w:t>
            </w:r>
          </w:p>
        </w:tc>
        <w:tc>
          <w:tcPr>
            <w:tcW w:w="2225" w:type="dxa"/>
          </w:tcPr>
          <w:p w14:paraId="4C7A8D0B" w14:textId="1D98D199"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Administrative Functions</w:t>
            </w:r>
          </w:p>
        </w:tc>
        <w:tc>
          <w:tcPr>
            <w:tcW w:w="7698" w:type="dxa"/>
            <w:shd w:val="clear" w:color="auto" w:fill="auto"/>
            <w:hideMark/>
          </w:tcPr>
          <w:p w14:paraId="7683B3B8"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Charges related to processing payments and management accounts</w:t>
            </w:r>
          </w:p>
          <w:p w14:paraId="523E2659" w14:textId="77777777" w:rsidR="001610CF" w:rsidRDefault="001610CF" w:rsidP="00446C09">
            <w:pPr>
              <w:spacing w:after="0" w:line="240" w:lineRule="auto"/>
              <w:rPr>
                <w:rFonts w:ascii="Arial" w:eastAsia="Times New Roman" w:hAnsi="Arial" w:cs="Arial"/>
                <w:sz w:val="24"/>
                <w:szCs w:val="24"/>
                <w:lang w:eastAsia="en-GB"/>
              </w:rPr>
            </w:pPr>
          </w:p>
          <w:p w14:paraId="4FD9355F" w14:textId="35928D29"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2C2A0B02" w14:textId="77777777" w:rsidTr="00E05C5E">
        <w:trPr>
          <w:trHeight w:val="56"/>
        </w:trPr>
        <w:tc>
          <w:tcPr>
            <w:tcW w:w="4531" w:type="dxa"/>
            <w:shd w:val="clear" w:color="auto" w:fill="auto"/>
            <w:noWrap/>
            <w:vAlign w:val="center"/>
            <w:hideMark/>
          </w:tcPr>
          <w:p w14:paraId="14C3A822"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ILR data entry, validation and reporting</w:t>
            </w:r>
          </w:p>
        </w:tc>
        <w:tc>
          <w:tcPr>
            <w:tcW w:w="2225" w:type="dxa"/>
          </w:tcPr>
          <w:p w14:paraId="50EA2C69" w14:textId="27C0B8BD"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Administrative Functions</w:t>
            </w:r>
          </w:p>
        </w:tc>
        <w:tc>
          <w:tcPr>
            <w:tcW w:w="7698" w:type="dxa"/>
            <w:shd w:val="clear" w:color="auto" w:fill="auto"/>
            <w:hideMark/>
          </w:tcPr>
          <w:p w14:paraId="294824DA"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Charges related to data entry, audit compliance and reporting on student and funding values</w:t>
            </w:r>
          </w:p>
          <w:p w14:paraId="2F9CC478" w14:textId="355216F9" w:rsidR="001610CF" w:rsidRPr="00EB7773" w:rsidRDefault="001610CF" w:rsidP="00446C09">
            <w:pPr>
              <w:spacing w:after="0" w:line="240" w:lineRule="auto"/>
              <w:rPr>
                <w:rFonts w:ascii="Arial" w:eastAsia="Times New Roman" w:hAnsi="Arial" w:cs="Arial"/>
                <w:sz w:val="24"/>
                <w:szCs w:val="24"/>
                <w:lang w:eastAsia="en-GB"/>
              </w:rPr>
            </w:pPr>
          </w:p>
        </w:tc>
      </w:tr>
      <w:bookmarkEnd w:id="1"/>
      <w:tr w:rsidR="00E05C5E" w:rsidRPr="00EB7773" w14:paraId="71035611" w14:textId="77777777" w:rsidTr="00E05C5E">
        <w:trPr>
          <w:trHeight w:val="56"/>
        </w:trPr>
        <w:tc>
          <w:tcPr>
            <w:tcW w:w="4531" w:type="dxa"/>
            <w:shd w:val="clear" w:color="auto" w:fill="auto"/>
            <w:noWrap/>
            <w:vAlign w:val="center"/>
            <w:hideMark/>
          </w:tcPr>
          <w:p w14:paraId="63F51647"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Visits</w:t>
            </w:r>
          </w:p>
        </w:tc>
        <w:tc>
          <w:tcPr>
            <w:tcW w:w="2225" w:type="dxa"/>
          </w:tcPr>
          <w:p w14:paraId="74135F4C" w14:textId="3CEBCD96"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Quality Assurance &amp; oversight</w:t>
            </w:r>
          </w:p>
        </w:tc>
        <w:tc>
          <w:tcPr>
            <w:tcW w:w="7698" w:type="dxa"/>
            <w:shd w:val="clear" w:color="auto" w:fill="auto"/>
            <w:hideMark/>
          </w:tcPr>
          <w:p w14:paraId="41494593"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Announced and unannounced visit costs to monitor quality of delivery and IAG</w:t>
            </w:r>
          </w:p>
          <w:p w14:paraId="4A1DB707" w14:textId="4FBA833B"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52EC9EE1" w14:textId="77777777" w:rsidTr="00E05C5E">
        <w:trPr>
          <w:trHeight w:val="56"/>
        </w:trPr>
        <w:tc>
          <w:tcPr>
            <w:tcW w:w="4531" w:type="dxa"/>
            <w:shd w:val="clear" w:color="auto" w:fill="auto"/>
            <w:noWrap/>
            <w:vAlign w:val="center"/>
            <w:hideMark/>
          </w:tcPr>
          <w:p w14:paraId="2809B1CE"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Routine monitoring</w:t>
            </w:r>
          </w:p>
        </w:tc>
        <w:tc>
          <w:tcPr>
            <w:tcW w:w="2225" w:type="dxa"/>
          </w:tcPr>
          <w:p w14:paraId="62FB8C58" w14:textId="1C48EF81"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Quality Assurance &amp; oversight</w:t>
            </w:r>
          </w:p>
        </w:tc>
        <w:tc>
          <w:tcPr>
            <w:tcW w:w="7698" w:type="dxa"/>
            <w:shd w:val="clear" w:color="auto" w:fill="auto"/>
            <w:hideMark/>
          </w:tcPr>
          <w:p w14:paraId="2F39B7E3"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Related to above item, charges related to reporting of observations from visits</w:t>
            </w:r>
          </w:p>
          <w:p w14:paraId="191843C5" w14:textId="1065DF71"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30B0E7BE" w14:textId="77777777" w:rsidTr="00E05C5E">
        <w:trPr>
          <w:trHeight w:val="56"/>
        </w:trPr>
        <w:tc>
          <w:tcPr>
            <w:tcW w:w="4531" w:type="dxa"/>
            <w:shd w:val="clear" w:color="auto" w:fill="auto"/>
            <w:noWrap/>
            <w:vAlign w:val="center"/>
            <w:hideMark/>
          </w:tcPr>
          <w:p w14:paraId="5A97EE0F"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Due diligence</w:t>
            </w:r>
          </w:p>
        </w:tc>
        <w:tc>
          <w:tcPr>
            <w:tcW w:w="2225" w:type="dxa"/>
          </w:tcPr>
          <w:p w14:paraId="32FF25EF" w14:textId="277BECF9"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Administrative Functions</w:t>
            </w:r>
          </w:p>
        </w:tc>
        <w:tc>
          <w:tcPr>
            <w:tcW w:w="7698" w:type="dxa"/>
            <w:shd w:val="clear" w:color="auto" w:fill="auto"/>
            <w:hideMark/>
          </w:tcPr>
          <w:p w14:paraId="7B0D15C5"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One off charge made at the start of new contracting relationships</w:t>
            </w:r>
          </w:p>
          <w:p w14:paraId="365E3090" w14:textId="77777777" w:rsidR="001610CF" w:rsidRDefault="001610CF" w:rsidP="00446C09">
            <w:pPr>
              <w:spacing w:after="0" w:line="240" w:lineRule="auto"/>
              <w:rPr>
                <w:rFonts w:ascii="Arial" w:eastAsia="Times New Roman" w:hAnsi="Arial" w:cs="Arial"/>
                <w:sz w:val="24"/>
                <w:szCs w:val="24"/>
                <w:lang w:eastAsia="en-GB"/>
              </w:rPr>
            </w:pPr>
          </w:p>
          <w:p w14:paraId="0F6BABF7" w14:textId="40090DAB"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6F075F4F" w14:textId="77777777" w:rsidTr="00E05C5E">
        <w:trPr>
          <w:trHeight w:val="56"/>
        </w:trPr>
        <w:tc>
          <w:tcPr>
            <w:tcW w:w="4531" w:type="dxa"/>
            <w:shd w:val="clear" w:color="auto" w:fill="auto"/>
            <w:noWrap/>
            <w:vAlign w:val="center"/>
            <w:hideMark/>
          </w:tcPr>
          <w:p w14:paraId="0DB722AB"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Checking qualifications/DBS</w:t>
            </w:r>
          </w:p>
        </w:tc>
        <w:tc>
          <w:tcPr>
            <w:tcW w:w="2225" w:type="dxa"/>
          </w:tcPr>
          <w:p w14:paraId="352023B0" w14:textId="0A6C89C8"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Administrative Functions</w:t>
            </w:r>
          </w:p>
        </w:tc>
        <w:tc>
          <w:tcPr>
            <w:tcW w:w="7698" w:type="dxa"/>
            <w:shd w:val="clear" w:color="auto" w:fill="auto"/>
            <w:hideMark/>
          </w:tcPr>
          <w:p w14:paraId="1C26F186"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One off charge made at the start of new contracting relationships</w:t>
            </w:r>
          </w:p>
          <w:p w14:paraId="7F61F7B9" w14:textId="77777777" w:rsidR="001610CF" w:rsidRDefault="001610CF" w:rsidP="00446C09">
            <w:pPr>
              <w:spacing w:after="0" w:line="240" w:lineRule="auto"/>
              <w:rPr>
                <w:rFonts w:ascii="Arial" w:eastAsia="Times New Roman" w:hAnsi="Arial" w:cs="Arial"/>
                <w:sz w:val="24"/>
                <w:szCs w:val="24"/>
                <w:lang w:eastAsia="en-GB"/>
              </w:rPr>
            </w:pPr>
          </w:p>
          <w:p w14:paraId="7E6B2214" w14:textId="1D0C63EB"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5BE7FA8A" w14:textId="77777777" w:rsidTr="00E05C5E">
        <w:trPr>
          <w:trHeight w:val="56"/>
        </w:trPr>
        <w:tc>
          <w:tcPr>
            <w:tcW w:w="4531" w:type="dxa"/>
            <w:shd w:val="clear" w:color="auto" w:fill="auto"/>
            <w:noWrap/>
            <w:vAlign w:val="center"/>
            <w:hideMark/>
          </w:tcPr>
          <w:p w14:paraId="08E05842" w14:textId="73208730" w:rsidR="00E05C5E" w:rsidRPr="00EB7773" w:rsidRDefault="00E05C5E" w:rsidP="00446C0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w:t>
            </w:r>
            <w:r w:rsidRPr="00EB7773">
              <w:rPr>
                <w:rFonts w:ascii="Arial" w:eastAsia="Times New Roman" w:hAnsi="Arial" w:cs="Arial"/>
                <w:sz w:val="24"/>
                <w:szCs w:val="24"/>
                <w:lang w:eastAsia="en-GB"/>
              </w:rPr>
              <w:t>udent survey</w:t>
            </w:r>
          </w:p>
        </w:tc>
        <w:tc>
          <w:tcPr>
            <w:tcW w:w="2225" w:type="dxa"/>
          </w:tcPr>
          <w:p w14:paraId="53ABB0BD" w14:textId="3518F677"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Quality Assurance &amp; oversight</w:t>
            </w:r>
          </w:p>
        </w:tc>
        <w:tc>
          <w:tcPr>
            <w:tcW w:w="7698" w:type="dxa"/>
            <w:shd w:val="clear" w:color="auto" w:fill="auto"/>
            <w:hideMark/>
          </w:tcPr>
          <w:p w14:paraId="4A6E9C10" w14:textId="77777777" w:rsidR="00E05C5E"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Quality surveys carried out by the college to monitor student satisfaction and progress</w:t>
            </w:r>
          </w:p>
          <w:p w14:paraId="0CA97486" w14:textId="017A4325" w:rsidR="001610CF" w:rsidRPr="00EB7773" w:rsidRDefault="001610CF" w:rsidP="00446C09">
            <w:pPr>
              <w:spacing w:after="0" w:line="240" w:lineRule="auto"/>
              <w:rPr>
                <w:rFonts w:ascii="Arial" w:eastAsia="Times New Roman" w:hAnsi="Arial" w:cs="Arial"/>
                <w:sz w:val="24"/>
                <w:szCs w:val="24"/>
                <w:lang w:eastAsia="en-GB"/>
              </w:rPr>
            </w:pPr>
          </w:p>
        </w:tc>
      </w:tr>
      <w:tr w:rsidR="00E05C5E" w:rsidRPr="00EB7773" w14:paraId="4A549A12" w14:textId="77777777" w:rsidTr="00E05C5E">
        <w:trPr>
          <w:trHeight w:val="56"/>
        </w:trPr>
        <w:tc>
          <w:tcPr>
            <w:tcW w:w="4531" w:type="dxa"/>
            <w:shd w:val="clear" w:color="auto" w:fill="auto"/>
            <w:noWrap/>
            <w:vAlign w:val="center"/>
            <w:hideMark/>
          </w:tcPr>
          <w:p w14:paraId="6D83735F"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Achievement rate monitoring</w:t>
            </w:r>
          </w:p>
        </w:tc>
        <w:tc>
          <w:tcPr>
            <w:tcW w:w="2225" w:type="dxa"/>
          </w:tcPr>
          <w:p w14:paraId="5A108869" w14:textId="62B6858B" w:rsidR="00E05C5E" w:rsidRPr="00EB7773" w:rsidRDefault="00E05C5E" w:rsidP="00FF5051">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Quality Assurance &amp; oversight</w:t>
            </w:r>
          </w:p>
        </w:tc>
        <w:tc>
          <w:tcPr>
            <w:tcW w:w="7698" w:type="dxa"/>
            <w:shd w:val="clear" w:color="auto" w:fill="auto"/>
            <w:hideMark/>
          </w:tcPr>
          <w:p w14:paraId="50683F63" w14:textId="77777777" w:rsidR="00E05C5E" w:rsidRPr="00EB7773" w:rsidRDefault="00E05C5E" w:rsidP="00446C09">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Related to performance management meetings to discuss in year retention, achievement and any issues arising and strategies for improvement</w:t>
            </w:r>
          </w:p>
        </w:tc>
      </w:tr>
      <w:tr w:rsidR="003E4802" w:rsidRPr="00EB7773" w14:paraId="6BEBC12E" w14:textId="77777777" w:rsidTr="00E05C5E">
        <w:trPr>
          <w:trHeight w:val="56"/>
        </w:trPr>
        <w:tc>
          <w:tcPr>
            <w:tcW w:w="4531" w:type="dxa"/>
            <w:shd w:val="clear" w:color="auto" w:fill="auto"/>
            <w:noWrap/>
            <w:vAlign w:val="center"/>
          </w:tcPr>
          <w:p w14:paraId="33FEA792" w14:textId="05C028FE" w:rsidR="003E4802" w:rsidRPr="00EB7773" w:rsidRDefault="003E4802" w:rsidP="003E480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Mandatory training</w:t>
            </w:r>
          </w:p>
        </w:tc>
        <w:tc>
          <w:tcPr>
            <w:tcW w:w="2225" w:type="dxa"/>
          </w:tcPr>
          <w:p w14:paraId="4B6F570B" w14:textId="499858B5" w:rsidR="003E4802" w:rsidRPr="00EB7773" w:rsidRDefault="003E4802" w:rsidP="003E4802">
            <w:pPr>
              <w:spacing w:after="0" w:line="240" w:lineRule="auto"/>
              <w:rPr>
                <w:rFonts w:ascii="Arial" w:eastAsia="Times New Roman" w:hAnsi="Arial" w:cs="Arial"/>
                <w:sz w:val="24"/>
                <w:szCs w:val="24"/>
                <w:lang w:eastAsia="en-GB"/>
              </w:rPr>
            </w:pPr>
            <w:r w:rsidRPr="00EB7773">
              <w:rPr>
                <w:rFonts w:ascii="Arial" w:eastAsia="Times New Roman" w:hAnsi="Arial" w:cs="Arial"/>
                <w:sz w:val="24"/>
                <w:szCs w:val="24"/>
                <w:lang w:eastAsia="en-GB"/>
              </w:rPr>
              <w:t>Quality Assurance &amp; oversight</w:t>
            </w:r>
          </w:p>
        </w:tc>
        <w:tc>
          <w:tcPr>
            <w:tcW w:w="7698" w:type="dxa"/>
            <w:shd w:val="clear" w:color="auto" w:fill="auto"/>
          </w:tcPr>
          <w:p w14:paraId="096B1405" w14:textId="2FB03C1F" w:rsidR="003E4802" w:rsidRPr="001610CF" w:rsidRDefault="003E4802" w:rsidP="003E4802">
            <w:pPr>
              <w:spacing w:after="0" w:line="240" w:lineRule="auto"/>
              <w:rPr>
                <w:rFonts w:ascii="Arial" w:eastAsia="Times New Roman" w:hAnsi="Arial" w:cs="Arial"/>
                <w:sz w:val="24"/>
                <w:szCs w:val="24"/>
                <w:lang w:eastAsia="en-GB"/>
              </w:rPr>
            </w:pPr>
            <w:r>
              <w:rPr>
                <w:rFonts w:ascii="Arial" w:eastAsia="Times New Roman" w:hAnsi="Arial" w:cs="Arial"/>
                <w:iCs/>
                <w:sz w:val="24"/>
                <w:szCs w:val="24"/>
                <w:lang w:eastAsia="en-GB"/>
              </w:rPr>
              <w:t>M</w:t>
            </w:r>
            <w:r w:rsidRPr="001610CF">
              <w:rPr>
                <w:rFonts w:ascii="Arial" w:eastAsia="Times New Roman" w:hAnsi="Arial" w:cs="Arial"/>
                <w:iCs/>
                <w:sz w:val="24"/>
                <w:szCs w:val="24"/>
                <w:lang w:eastAsia="en-GB"/>
              </w:rPr>
              <w:t>andatory training delivered to subcontractor staff</w:t>
            </w:r>
          </w:p>
        </w:tc>
      </w:tr>
    </w:tbl>
    <w:p w14:paraId="4393D37E" w14:textId="79AEE71C" w:rsidR="00D75ACB" w:rsidRPr="00EC2962" w:rsidRDefault="00D75ACB" w:rsidP="00EC2962">
      <w:pPr>
        <w:jc w:val="both"/>
        <w:rPr>
          <w:rFonts w:ascii="Arial" w:hAnsi="Arial" w:cs="Arial"/>
          <w:color w:val="FF0000"/>
          <w:sz w:val="24"/>
          <w:szCs w:val="24"/>
        </w:rPr>
      </w:pPr>
    </w:p>
    <w:sectPr w:rsidR="00D75ACB" w:rsidRPr="00EC2962" w:rsidSect="001610CF">
      <w:pgSz w:w="16838" w:h="11906" w:orient="landscape"/>
      <w:pgMar w:top="1418"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59EF" w14:textId="77777777" w:rsidR="00724889" w:rsidRDefault="00724889" w:rsidP="00172ADA">
      <w:pPr>
        <w:spacing w:after="0" w:line="240" w:lineRule="auto"/>
      </w:pPr>
      <w:r>
        <w:separator/>
      </w:r>
    </w:p>
  </w:endnote>
  <w:endnote w:type="continuationSeparator" w:id="0">
    <w:p w14:paraId="47059652" w14:textId="77777777" w:rsidR="00724889" w:rsidRDefault="00724889" w:rsidP="0017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3A94" w14:textId="0147DF4B" w:rsidR="009C6285" w:rsidRDefault="009C628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22298">
      <w:rPr>
        <w:caps/>
        <w:noProof/>
        <w:color w:val="4F81BD" w:themeColor="accent1"/>
      </w:rPr>
      <w:t>1</w:t>
    </w:r>
    <w:r>
      <w:rPr>
        <w:caps/>
        <w:noProof/>
        <w:color w:val="4F81BD" w:themeColor="accent1"/>
      </w:rPr>
      <w:fldChar w:fldCharType="end"/>
    </w:r>
  </w:p>
  <w:p w14:paraId="12D54A07" w14:textId="77777777" w:rsidR="009C6285" w:rsidRDefault="009C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BD71" w14:textId="77777777" w:rsidR="00724889" w:rsidRDefault="00724889" w:rsidP="00172ADA">
      <w:pPr>
        <w:spacing w:after="0" w:line="240" w:lineRule="auto"/>
      </w:pPr>
      <w:r>
        <w:separator/>
      </w:r>
    </w:p>
  </w:footnote>
  <w:footnote w:type="continuationSeparator" w:id="0">
    <w:p w14:paraId="7E07CFA2" w14:textId="77777777" w:rsidR="00724889" w:rsidRDefault="00724889" w:rsidP="00172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B4C"/>
    <w:multiLevelType w:val="hybridMultilevel"/>
    <w:tmpl w:val="1396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F395A"/>
    <w:multiLevelType w:val="hybridMultilevel"/>
    <w:tmpl w:val="BEFE89E6"/>
    <w:lvl w:ilvl="0" w:tplc="08090017">
      <w:start w:val="1"/>
      <w:numFmt w:val="lowerLetter"/>
      <w:lvlText w:val="%1)"/>
      <w:lvlJc w:val="left"/>
      <w:pPr>
        <w:ind w:left="1080" w:hanging="360"/>
      </w:pPr>
      <w:rPr>
        <w:rFonts w:hint="default"/>
        <w:b w:val="0"/>
        <w:color w:val="auto"/>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0C767F"/>
    <w:multiLevelType w:val="hybridMultilevel"/>
    <w:tmpl w:val="4CFE1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636313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A3F82"/>
    <w:multiLevelType w:val="hybridMultilevel"/>
    <w:tmpl w:val="5400E230"/>
    <w:lvl w:ilvl="0" w:tplc="CFD4B87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E14DB"/>
    <w:multiLevelType w:val="hybridMultilevel"/>
    <w:tmpl w:val="37C4C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D749DF"/>
    <w:multiLevelType w:val="hybridMultilevel"/>
    <w:tmpl w:val="5376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813C9"/>
    <w:multiLevelType w:val="hybridMultilevel"/>
    <w:tmpl w:val="BC6AC97E"/>
    <w:lvl w:ilvl="0" w:tplc="CB483518">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9E62AF32">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F6E6E"/>
    <w:multiLevelType w:val="hybridMultilevel"/>
    <w:tmpl w:val="88CA4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C2885"/>
    <w:multiLevelType w:val="hybridMultilevel"/>
    <w:tmpl w:val="D1C27AE0"/>
    <w:lvl w:ilvl="0" w:tplc="FFFFFFFF">
      <w:start w:val="1"/>
      <w:numFmt w:val="bullet"/>
      <w:lvlText w:val="-"/>
      <w:lvlJc w:val="left"/>
      <w:pPr>
        <w:ind w:left="1080" w:hanging="360"/>
      </w:pPr>
      <w:rPr>
        <w:rFonts w:hAnsi="Wingdings" w:hint="eastAsia"/>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063A02"/>
    <w:multiLevelType w:val="hybridMultilevel"/>
    <w:tmpl w:val="4FC6F5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92A66"/>
    <w:multiLevelType w:val="hybridMultilevel"/>
    <w:tmpl w:val="A90E3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3605EE8"/>
    <w:multiLevelType w:val="hybridMultilevel"/>
    <w:tmpl w:val="032E3F30"/>
    <w:lvl w:ilvl="0" w:tplc="91CCBF1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D424FB"/>
    <w:multiLevelType w:val="hybridMultilevel"/>
    <w:tmpl w:val="175C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6D7E8D"/>
    <w:multiLevelType w:val="hybridMultilevel"/>
    <w:tmpl w:val="6692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B05D0"/>
    <w:multiLevelType w:val="hybridMultilevel"/>
    <w:tmpl w:val="67D84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35F03"/>
    <w:multiLevelType w:val="hybridMultilevel"/>
    <w:tmpl w:val="80280830"/>
    <w:lvl w:ilvl="0" w:tplc="FFFFFFFF">
      <w:start w:val="1"/>
      <w:numFmt w:val="bullet"/>
      <w:lvlText w:val="-"/>
      <w:lvlJc w:val="left"/>
      <w:pPr>
        <w:ind w:left="1080" w:hanging="360"/>
      </w:pPr>
      <w:rPr>
        <w:rFonts w:hAnsi="Wingdings"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5"/>
  </w:num>
  <w:num w:numId="6">
    <w:abstractNumId w:val="3"/>
  </w:num>
  <w:num w:numId="7">
    <w:abstractNumId w:val="14"/>
  </w:num>
  <w:num w:numId="8">
    <w:abstractNumId w:val="12"/>
  </w:num>
  <w:num w:numId="9">
    <w:abstractNumId w:val="7"/>
  </w:num>
  <w:num w:numId="10">
    <w:abstractNumId w:val="13"/>
  </w:num>
  <w:num w:numId="11">
    <w:abstractNumId w:val="2"/>
  </w:num>
  <w:num w:numId="12">
    <w:abstractNumId w:val="5"/>
  </w:num>
  <w:num w:numId="13">
    <w:abstractNumId w:val="0"/>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AD"/>
    <w:rsid w:val="000210D4"/>
    <w:rsid w:val="00022298"/>
    <w:rsid w:val="0003303E"/>
    <w:rsid w:val="00041E19"/>
    <w:rsid w:val="000427AE"/>
    <w:rsid w:val="0004446E"/>
    <w:rsid w:val="00065957"/>
    <w:rsid w:val="001408B2"/>
    <w:rsid w:val="0014671E"/>
    <w:rsid w:val="001610CF"/>
    <w:rsid w:val="00172ADA"/>
    <w:rsid w:val="00174CAD"/>
    <w:rsid w:val="001D1ABD"/>
    <w:rsid w:val="001D6CBD"/>
    <w:rsid w:val="001E047E"/>
    <w:rsid w:val="001E1970"/>
    <w:rsid w:val="001F0AFB"/>
    <w:rsid w:val="001F4E3E"/>
    <w:rsid w:val="00240E1B"/>
    <w:rsid w:val="00243ACA"/>
    <w:rsid w:val="00261CC7"/>
    <w:rsid w:val="00272F49"/>
    <w:rsid w:val="00277E2A"/>
    <w:rsid w:val="002A6179"/>
    <w:rsid w:val="002B03B1"/>
    <w:rsid w:val="002B304A"/>
    <w:rsid w:val="002D644B"/>
    <w:rsid w:val="003572AC"/>
    <w:rsid w:val="00374BD7"/>
    <w:rsid w:val="00395F28"/>
    <w:rsid w:val="003B5E90"/>
    <w:rsid w:val="003C4E35"/>
    <w:rsid w:val="003D5067"/>
    <w:rsid w:val="003E4802"/>
    <w:rsid w:val="003E517B"/>
    <w:rsid w:val="00417948"/>
    <w:rsid w:val="00425818"/>
    <w:rsid w:val="004528DC"/>
    <w:rsid w:val="0047619B"/>
    <w:rsid w:val="00485AB7"/>
    <w:rsid w:val="004939CA"/>
    <w:rsid w:val="0049672E"/>
    <w:rsid w:val="004A28D0"/>
    <w:rsid w:val="004B10BC"/>
    <w:rsid w:val="004B4D2E"/>
    <w:rsid w:val="004B7B42"/>
    <w:rsid w:val="004C68AF"/>
    <w:rsid w:val="00502984"/>
    <w:rsid w:val="0052173D"/>
    <w:rsid w:val="0053640C"/>
    <w:rsid w:val="00572743"/>
    <w:rsid w:val="00576AC8"/>
    <w:rsid w:val="0059453A"/>
    <w:rsid w:val="006116A0"/>
    <w:rsid w:val="0063065A"/>
    <w:rsid w:val="00661343"/>
    <w:rsid w:val="006A6367"/>
    <w:rsid w:val="007001D8"/>
    <w:rsid w:val="00724889"/>
    <w:rsid w:val="007430C2"/>
    <w:rsid w:val="007A1F9E"/>
    <w:rsid w:val="007C3789"/>
    <w:rsid w:val="007E4F1B"/>
    <w:rsid w:val="007F7B3A"/>
    <w:rsid w:val="008201A5"/>
    <w:rsid w:val="00833129"/>
    <w:rsid w:val="008438A4"/>
    <w:rsid w:val="00853B20"/>
    <w:rsid w:val="008862AB"/>
    <w:rsid w:val="008F49C2"/>
    <w:rsid w:val="00920768"/>
    <w:rsid w:val="00921168"/>
    <w:rsid w:val="00927219"/>
    <w:rsid w:val="009272EA"/>
    <w:rsid w:val="00982B0A"/>
    <w:rsid w:val="009839A8"/>
    <w:rsid w:val="00985B2B"/>
    <w:rsid w:val="009B271D"/>
    <w:rsid w:val="009C6285"/>
    <w:rsid w:val="009F3192"/>
    <w:rsid w:val="00A1563B"/>
    <w:rsid w:val="00A23209"/>
    <w:rsid w:val="00A31793"/>
    <w:rsid w:val="00A610DA"/>
    <w:rsid w:val="00AB03E5"/>
    <w:rsid w:val="00AD27A0"/>
    <w:rsid w:val="00AF42C7"/>
    <w:rsid w:val="00B10155"/>
    <w:rsid w:val="00B15A97"/>
    <w:rsid w:val="00B35E6E"/>
    <w:rsid w:val="00B400C6"/>
    <w:rsid w:val="00B5598E"/>
    <w:rsid w:val="00B7461E"/>
    <w:rsid w:val="00B75E55"/>
    <w:rsid w:val="00B934C7"/>
    <w:rsid w:val="00BB7223"/>
    <w:rsid w:val="00BD140F"/>
    <w:rsid w:val="00BF101A"/>
    <w:rsid w:val="00C1315C"/>
    <w:rsid w:val="00C318F0"/>
    <w:rsid w:val="00C5445E"/>
    <w:rsid w:val="00C56C9C"/>
    <w:rsid w:val="00C67351"/>
    <w:rsid w:val="00C73D56"/>
    <w:rsid w:val="00CD0BC0"/>
    <w:rsid w:val="00CD0F61"/>
    <w:rsid w:val="00D11FC6"/>
    <w:rsid w:val="00D43D5D"/>
    <w:rsid w:val="00D75ACB"/>
    <w:rsid w:val="00DB56CA"/>
    <w:rsid w:val="00DC1986"/>
    <w:rsid w:val="00E05C5E"/>
    <w:rsid w:val="00E2375C"/>
    <w:rsid w:val="00E265AE"/>
    <w:rsid w:val="00EA556F"/>
    <w:rsid w:val="00EA6B8F"/>
    <w:rsid w:val="00EB6141"/>
    <w:rsid w:val="00EB7773"/>
    <w:rsid w:val="00EC2962"/>
    <w:rsid w:val="00EC553E"/>
    <w:rsid w:val="00EC798D"/>
    <w:rsid w:val="00ED70F2"/>
    <w:rsid w:val="00EF2A06"/>
    <w:rsid w:val="00F20995"/>
    <w:rsid w:val="00F370BB"/>
    <w:rsid w:val="00F54B98"/>
    <w:rsid w:val="00F84C21"/>
    <w:rsid w:val="00FC7854"/>
    <w:rsid w:val="00FF5051"/>
    <w:rsid w:val="20752E31"/>
    <w:rsid w:val="26767CCA"/>
    <w:rsid w:val="7847E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A2355"/>
  <w15:docId w15:val="{E761A2DC-E143-43A9-AC05-2071E6D7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CA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AD"/>
    <w:pPr>
      <w:ind w:left="720"/>
      <w:contextualSpacing/>
    </w:pPr>
  </w:style>
  <w:style w:type="paragraph" w:styleId="BalloonText">
    <w:name w:val="Balloon Text"/>
    <w:basedOn w:val="Normal"/>
    <w:link w:val="BalloonTextChar"/>
    <w:rsid w:val="00B7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461E"/>
    <w:rPr>
      <w:rFonts w:ascii="Tahoma" w:eastAsiaTheme="minorHAnsi" w:hAnsi="Tahoma" w:cs="Tahoma"/>
      <w:sz w:val="16"/>
      <w:szCs w:val="16"/>
      <w:lang w:eastAsia="en-US"/>
    </w:rPr>
  </w:style>
  <w:style w:type="paragraph" w:styleId="Header">
    <w:name w:val="header"/>
    <w:basedOn w:val="Normal"/>
    <w:link w:val="HeaderChar"/>
    <w:unhideWhenUsed/>
    <w:rsid w:val="00172ADA"/>
    <w:pPr>
      <w:tabs>
        <w:tab w:val="center" w:pos="4513"/>
        <w:tab w:val="right" w:pos="9026"/>
      </w:tabs>
      <w:spacing w:after="0" w:line="240" w:lineRule="auto"/>
    </w:pPr>
  </w:style>
  <w:style w:type="character" w:customStyle="1" w:styleId="HeaderChar">
    <w:name w:val="Header Char"/>
    <w:basedOn w:val="DefaultParagraphFont"/>
    <w:link w:val="Header"/>
    <w:rsid w:val="00172AD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72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DA"/>
    <w:rPr>
      <w:rFonts w:asciiTheme="minorHAnsi" w:eastAsiaTheme="minorHAnsi" w:hAnsiTheme="minorHAnsi" w:cstheme="minorBidi"/>
      <w:sz w:val="22"/>
      <w:szCs w:val="22"/>
      <w:lang w:eastAsia="en-US"/>
    </w:rPr>
  </w:style>
  <w:style w:type="paragraph" w:customStyle="1" w:styleId="Default">
    <w:name w:val="Default"/>
    <w:rsid w:val="00172ADA"/>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201A5"/>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15A97"/>
    <w:rPr>
      <w:sz w:val="16"/>
      <w:szCs w:val="16"/>
    </w:rPr>
  </w:style>
  <w:style w:type="paragraph" w:styleId="CommentText">
    <w:name w:val="annotation text"/>
    <w:basedOn w:val="Normal"/>
    <w:link w:val="CommentTextChar"/>
    <w:semiHidden/>
    <w:unhideWhenUsed/>
    <w:rsid w:val="00B15A97"/>
    <w:pPr>
      <w:spacing w:line="240" w:lineRule="auto"/>
    </w:pPr>
    <w:rPr>
      <w:sz w:val="20"/>
      <w:szCs w:val="20"/>
    </w:rPr>
  </w:style>
  <w:style w:type="character" w:customStyle="1" w:styleId="CommentTextChar">
    <w:name w:val="Comment Text Char"/>
    <w:basedOn w:val="DefaultParagraphFont"/>
    <w:link w:val="CommentText"/>
    <w:semiHidden/>
    <w:rsid w:val="00B15A9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B15A97"/>
    <w:rPr>
      <w:b/>
      <w:bCs/>
    </w:rPr>
  </w:style>
  <w:style w:type="character" w:customStyle="1" w:styleId="CommentSubjectChar">
    <w:name w:val="Comment Subject Char"/>
    <w:basedOn w:val="CommentTextChar"/>
    <w:link w:val="CommentSubject"/>
    <w:semiHidden/>
    <w:rsid w:val="00B15A97"/>
    <w:rPr>
      <w:rFonts w:asciiTheme="minorHAnsi" w:eastAsiaTheme="minorHAnsi" w:hAnsiTheme="minorHAnsi" w:cstheme="minorBidi"/>
      <w:b/>
      <w:bCs/>
      <w:lang w:eastAsia="en-US"/>
    </w:rPr>
  </w:style>
  <w:style w:type="paragraph" w:styleId="Revision">
    <w:name w:val="Revision"/>
    <w:hidden/>
    <w:uiPriority w:val="99"/>
    <w:semiHidden/>
    <w:rsid w:val="00B15A97"/>
    <w:rPr>
      <w:rFonts w:asciiTheme="minorHAnsi" w:eastAsiaTheme="minorHAnsi" w:hAnsiTheme="minorHAnsi" w:cstheme="minorBidi"/>
      <w:sz w:val="22"/>
      <w:szCs w:val="22"/>
      <w:lang w:eastAsia="en-US"/>
    </w:rPr>
  </w:style>
  <w:style w:type="character" w:styleId="Hyperlink">
    <w:name w:val="Hyperlink"/>
    <w:basedOn w:val="DefaultParagraphFont"/>
    <w:unhideWhenUsed/>
    <w:rsid w:val="00B934C7"/>
    <w:rPr>
      <w:color w:val="0000FF" w:themeColor="hyperlink"/>
      <w:u w:val="single"/>
    </w:rPr>
  </w:style>
  <w:style w:type="character" w:customStyle="1" w:styleId="UnresolvedMention1">
    <w:name w:val="Unresolved Mention1"/>
    <w:basedOn w:val="DefaultParagraphFont"/>
    <w:uiPriority w:val="99"/>
    <w:semiHidden/>
    <w:unhideWhenUsed/>
    <w:rsid w:val="00B9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8ECBA64D97E4C847C7B224F74AD2C" ma:contentTypeVersion="7" ma:contentTypeDescription="Create a new document." ma:contentTypeScope="" ma:versionID="6b6cf60e82cecb88a906b2dea270a194">
  <xsd:schema xmlns:xsd="http://www.w3.org/2001/XMLSchema" xmlns:xs="http://www.w3.org/2001/XMLSchema" xmlns:p="http://schemas.microsoft.com/office/2006/metadata/properties" xmlns:ns3="c4b58c11-6891-42c7-b871-9cf1485bff62" xmlns:ns4="be82127a-758a-44f6-b42b-6b5da1807f9f" targetNamespace="http://schemas.microsoft.com/office/2006/metadata/properties" ma:root="true" ma:fieldsID="8e01eafb8980e5e4b8f9103fe3222c7e" ns3:_="" ns4:_="">
    <xsd:import namespace="c4b58c11-6891-42c7-b871-9cf1485bff62"/>
    <xsd:import namespace="be82127a-758a-44f6-b42b-6b5da1807f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8c11-6891-42c7-b871-9cf1485b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2127a-758a-44f6-b42b-6b5da1807f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D501-08DA-4661-B25F-FBBB2FAB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8c11-6891-42c7-b871-9cf1485bff62"/>
    <ds:schemaRef ds:uri="be82127a-758a-44f6-b42b-6b5da1807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879B5-48CE-43AE-ABBF-E16BE949D7C7}">
  <ds:schemaRefs>
    <ds:schemaRef ds:uri="http://schemas.microsoft.com/sharepoint/v3/contenttype/forms"/>
  </ds:schemaRefs>
</ds:datastoreItem>
</file>

<file path=customXml/itemProps3.xml><?xml version="1.0" encoding="utf-8"?>
<ds:datastoreItem xmlns:ds="http://schemas.openxmlformats.org/officeDocument/2006/customXml" ds:itemID="{A03846DF-9894-4271-A236-5B1CBC82786C}">
  <ds:schemaRefs>
    <ds:schemaRef ds:uri="http://purl.org/dc/terms/"/>
    <ds:schemaRef ds:uri="http://schemas.microsoft.com/office/2006/documentManagement/types"/>
    <ds:schemaRef ds:uri="http://purl.org/dc/dcmitype/"/>
    <ds:schemaRef ds:uri="http://purl.org/dc/elements/1.1/"/>
    <ds:schemaRef ds:uri="c4b58c11-6891-42c7-b871-9cf1485bff62"/>
    <ds:schemaRef ds:uri="http://schemas.microsoft.com/office/infopath/2007/PartnerControls"/>
    <ds:schemaRef ds:uri="http://www.w3.org/XML/1998/namespace"/>
    <ds:schemaRef ds:uri="http://schemas.openxmlformats.org/package/2006/metadata/core-properties"/>
    <ds:schemaRef ds:uri="be82127a-758a-44f6-b42b-6b5da1807f9f"/>
    <ds:schemaRef ds:uri="http://schemas.microsoft.com/office/2006/metadata/properties"/>
  </ds:schemaRefs>
</ds:datastoreItem>
</file>

<file path=customXml/itemProps4.xml><?xml version="1.0" encoding="utf-8"?>
<ds:datastoreItem xmlns:ds="http://schemas.openxmlformats.org/officeDocument/2006/customXml" ds:itemID="{7230A74C-AF8B-4C67-A1BD-2ABF5710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8149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Chinneck, Sharon</dc:creator>
  <cp:lastModifiedBy>Williams, Faye</cp:lastModifiedBy>
  <cp:revision>2</cp:revision>
  <dcterms:created xsi:type="dcterms:W3CDTF">2021-09-16T11:36:00Z</dcterms:created>
  <dcterms:modified xsi:type="dcterms:W3CDTF">2021-09-16T11:36:00Z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0x0101003128ECBA64D97E4C847C7B224F74AD2C</vt:lpwstr>
  </property>
</Properties>
</file>