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826" w:rsidRDefault="005023F2">
      <w:bookmarkStart w:id="0" w:name="_GoBack"/>
      <w:bookmarkEnd w:id="0"/>
      <w:r>
        <w:rPr>
          <w:noProof/>
          <w:lang w:eastAsia="en-GB"/>
        </w:rPr>
        <w:drawing>
          <wp:inline distT="0" distB="0" distL="0" distR="0" wp14:anchorId="4636570A" wp14:editId="2DB5E7A9">
            <wp:extent cx="1609725" cy="790575"/>
            <wp:effectExtent l="0" t="0" r="9525" b="9525"/>
            <wp:docPr id="1" name="Picture 1" descr="Bedford Education Group logo [CMYK]"/>
            <wp:cNvGraphicFramePr/>
            <a:graphic xmlns:a="http://schemas.openxmlformats.org/drawingml/2006/main">
              <a:graphicData uri="http://schemas.openxmlformats.org/drawingml/2006/picture">
                <pic:pic xmlns:pic="http://schemas.openxmlformats.org/drawingml/2006/picture">
                  <pic:nvPicPr>
                    <pic:cNvPr id="1" name="Picture 1" descr="Bedford Education Group logo [CMYK]"/>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790575"/>
                    </a:xfrm>
                    <a:prstGeom prst="rect">
                      <a:avLst/>
                    </a:prstGeom>
                    <a:noFill/>
                    <a:ln>
                      <a:noFill/>
                    </a:ln>
                  </pic:spPr>
                </pic:pic>
              </a:graphicData>
            </a:graphic>
          </wp:inline>
        </w:drawing>
      </w:r>
    </w:p>
    <w:p w:rsidR="005023F2" w:rsidRDefault="005023F2" w:rsidP="005023F2">
      <w:pPr>
        <w:spacing w:after="0"/>
        <w:rPr>
          <w:rFonts w:ascii="Arial" w:hAnsi="Arial" w:cs="Arial"/>
          <w:b/>
          <w:sz w:val="24"/>
          <w:szCs w:val="24"/>
          <w:u w:val="single"/>
        </w:rPr>
      </w:pPr>
      <w:r>
        <w:rPr>
          <w:rFonts w:ascii="Arial" w:hAnsi="Arial" w:cs="Arial"/>
          <w:b/>
          <w:sz w:val="24"/>
          <w:szCs w:val="24"/>
          <w:u w:val="single"/>
        </w:rPr>
        <w:t>Gender Pay Report</w:t>
      </w:r>
      <w:r w:rsidR="00913255">
        <w:rPr>
          <w:rFonts w:ascii="Arial" w:hAnsi="Arial" w:cs="Arial"/>
          <w:b/>
          <w:sz w:val="24"/>
          <w:szCs w:val="24"/>
          <w:u w:val="single"/>
        </w:rPr>
        <w:t xml:space="preserve"> – 31 March 2020</w:t>
      </w:r>
    </w:p>
    <w:p w:rsidR="005023F2" w:rsidRDefault="005023F2" w:rsidP="005023F2">
      <w:pPr>
        <w:spacing w:after="0"/>
        <w:rPr>
          <w:rFonts w:ascii="Arial" w:hAnsi="Arial" w:cs="Arial"/>
          <w:b/>
          <w:sz w:val="24"/>
          <w:szCs w:val="24"/>
          <w:u w:val="single"/>
        </w:rPr>
      </w:pPr>
    </w:p>
    <w:p w:rsidR="005023F2" w:rsidRDefault="005023F2" w:rsidP="005023F2">
      <w:pPr>
        <w:spacing w:after="0"/>
        <w:rPr>
          <w:rFonts w:ascii="Arial" w:hAnsi="Arial" w:cs="Arial"/>
          <w:b/>
          <w:sz w:val="24"/>
          <w:szCs w:val="24"/>
        </w:rPr>
      </w:pPr>
      <w:r>
        <w:rPr>
          <w:rFonts w:ascii="Arial" w:hAnsi="Arial" w:cs="Arial"/>
          <w:b/>
          <w:sz w:val="24"/>
          <w:szCs w:val="24"/>
        </w:rPr>
        <w:t>About Us</w:t>
      </w:r>
    </w:p>
    <w:p w:rsidR="005023F2" w:rsidRDefault="005023F2" w:rsidP="005023F2">
      <w:pPr>
        <w:spacing w:after="0"/>
        <w:rPr>
          <w:rFonts w:ascii="Arial" w:hAnsi="Arial" w:cs="Arial"/>
          <w:b/>
          <w:sz w:val="24"/>
          <w:szCs w:val="24"/>
        </w:rPr>
      </w:pPr>
    </w:p>
    <w:p w:rsidR="00244B8A" w:rsidRDefault="00A07C14" w:rsidP="005023F2">
      <w:pPr>
        <w:spacing w:after="0"/>
        <w:rPr>
          <w:rFonts w:ascii="Arial" w:hAnsi="Arial" w:cs="Arial"/>
          <w:sz w:val="24"/>
          <w:szCs w:val="24"/>
        </w:rPr>
      </w:pPr>
      <w:r>
        <w:rPr>
          <w:rFonts w:ascii="Arial" w:hAnsi="Arial" w:cs="Arial"/>
          <w:sz w:val="24"/>
          <w:szCs w:val="24"/>
        </w:rPr>
        <w:t xml:space="preserve">The </w:t>
      </w:r>
      <w:r w:rsidR="005023F2">
        <w:rPr>
          <w:rFonts w:ascii="Arial" w:hAnsi="Arial" w:cs="Arial"/>
          <w:sz w:val="24"/>
          <w:szCs w:val="24"/>
        </w:rPr>
        <w:t xml:space="preserve">Bedford College </w:t>
      </w:r>
      <w:r>
        <w:rPr>
          <w:rFonts w:ascii="Arial" w:hAnsi="Arial" w:cs="Arial"/>
          <w:sz w:val="24"/>
          <w:szCs w:val="24"/>
        </w:rPr>
        <w:t xml:space="preserve">Group </w:t>
      </w:r>
      <w:r w:rsidR="005023F2">
        <w:rPr>
          <w:rFonts w:ascii="Arial" w:hAnsi="Arial" w:cs="Arial"/>
          <w:sz w:val="24"/>
          <w:szCs w:val="24"/>
        </w:rPr>
        <w:t xml:space="preserve">is recognised as one of the best further education providers in the UK. </w:t>
      </w:r>
      <w:r w:rsidR="00244B8A">
        <w:rPr>
          <w:rFonts w:ascii="Arial" w:hAnsi="Arial" w:cs="Arial"/>
          <w:sz w:val="24"/>
          <w:szCs w:val="24"/>
        </w:rPr>
        <w:t>Our</w:t>
      </w:r>
      <w:r w:rsidR="005023F2">
        <w:rPr>
          <w:rFonts w:ascii="Arial" w:hAnsi="Arial" w:cs="Arial"/>
          <w:sz w:val="24"/>
          <w:szCs w:val="24"/>
        </w:rPr>
        <w:t xml:space="preserve"> values reflect the manner in which we set out to achieve our aims </w:t>
      </w:r>
      <w:r w:rsidR="00244B8A">
        <w:rPr>
          <w:rFonts w:ascii="Arial" w:hAnsi="Arial" w:cs="Arial"/>
          <w:sz w:val="24"/>
          <w:szCs w:val="24"/>
        </w:rPr>
        <w:t>and we put the learner at the heart of all we do. Our core values are:</w:t>
      </w:r>
    </w:p>
    <w:p w:rsidR="00244B8A" w:rsidRDefault="00244B8A" w:rsidP="005023F2">
      <w:pPr>
        <w:spacing w:after="0"/>
        <w:rPr>
          <w:rFonts w:ascii="Arial" w:hAnsi="Arial" w:cs="Arial"/>
          <w:sz w:val="24"/>
          <w:szCs w:val="24"/>
        </w:rPr>
      </w:pPr>
    </w:p>
    <w:p w:rsidR="005023F2" w:rsidRDefault="00244B8A" w:rsidP="00244B8A">
      <w:pPr>
        <w:pStyle w:val="ListParagraph"/>
        <w:numPr>
          <w:ilvl w:val="0"/>
          <w:numId w:val="1"/>
        </w:numPr>
        <w:spacing w:after="0"/>
        <w:rPr>
          <w:rFonts w:ascii="Arial" w:hAnsi="Arial" w:cs="Arial"/>
          <w:sz w:val="24"/>
          <w:szCs w:val="24"/>
        </w:rPr>
      </w:pPr>
      <w:r>
        <w:rPr>
          <w:rFonts w:ascii="Arial" w:hAnsi="Arial" w:cs="Arial"/>
          <w:sz w:val="24"/>
          <w:szCs w:val="24"/>
        </w:rPr>
        <w:t>Student focus</w:t>
      </w:r>
    </w:p>
    <w:p w:rsidR="00244B8A" w:rsidRDefault="00244B8A" w:rsidP="00244B8A">
      <w:pPr>
        <w:pStyle w:val="ListParagraph"/>
        <w:numPr>
          <w:ilvl w:val="0"/>
          <w:numId w:val="1"/>
        </w:numPr>
        <w:spacing w:after="0"/>
        <w:rPr>
          <w:rFonts w:ascii="Arial" w:hAnsi="Arial" w:cs="Arial"/>
          <w:sz w:val="24"/>
          <w:szCs w:val="24"/>
        </w:rPr>
      </w:pPr>
      <w:r>
        <w:rPr>
          <w:rFonts w:ascii="Arial" w:hAnsi="Arial" w:cs="Arial"/>
          <w:sz w:val="24"/>
          <w:szCs w:val="24"/>
        </w:rPr>
        <w:t>High performance</w:t>
      </w:r>
    </w:p>
    <w:p w:rsidR="00244B8A" w:rsidRDefault="00244B8A" w:rsidP="00244B8A">
      <w:pPr>
        <w:pStyle w:val="ListParagraph"/>
        <w:numPr>
          <w:ilvl w:val="0"/>
          <w:numId w:val="1"/>
        </w:numPr>
        <w:spacing w:after="0"/>
        <w:rPr>
          <w:rFonts w:ascii="Arial" w:hAnsi="Arial" w:cs="Arial"/>
          <w:sz w:val="24"/>
          <w:szCs w:val="24"/>
        </w:rPr>
      </w:pPr>
      <w:r>
        <w:rPr>
          <w:rFonts w:ascii="Arial" w:hAnsi="Arial" w:cs="Arial"/>
          <w:sz w:val="24"/>
          <w:szCs w:val="24"/>
        </w:rPr>
        <w:t>Respect, openness and honesty</w:t>
      </w:r>
    </w:p>
    <w:p w:rsidR="00A07C14" w:rsidRDefault="00A07C14" w:rsidP="00A07C14">
      <w:pPr>
        <w:spacing w:after="0"/>
        <w:rPr>
          <w:rFonts w:ascii="Arial" w:hAnsi="Arial" w:cs="Arial"/>
          <w:sz w:val="24"/>
          <w:szCs w:val="24"/>
        </w:rPr>
      </w:pPr>
    </w:p>
    <w:p w:rsidR="00A07C14" w:rsidRDefault="00A07C14" w:rsidP="00A07C14">
      <w:pPr>
        <w:spacing w:after="0"/>
        <w:rPr>
          <w:rFonts w:ascii="Arial" w:hAnsi="Arial" w:cs="Arial"/>
          <w:sz w:val="24"/>
          <w:szCs w:val="24"/>
        </w:rPr>
      </w:pPr>
      <w:r>
        <w:rPr>
          <w:rFonts w:ascii="Arial" w:hAnsi="Arial" w:cs="Arial"/>
          <w:sz w:val="24"/>
          <w:szCs w:val="24"/>
        </w:rPr>
        <w:t>The Bedford College Group consists of Bedford College and Tresham College that merged on 1 August 2017 and three wholly owned subsidiaries which are:</w:t>
      </w:r>
    </w:p>
    <w:p w:rsidR="00A07C14" w:rsidRDefault="00A07C14" w:rsidP="00A07C14">
      <w:pPr>
        <w:spacing w:after="0"/>
        <w:rPr>
          <w:rFonts w:ascii="Arial" w:hAnsi="Arial" w:cs="Arial"/>
          <w:sz w:val="24"/>
          <w:szCs w:val="24"/>
        </w:rPr>
      </w:pPr>
    </w:p>
    <w:p w:rsidR="00A07C14" w:rsidRDefault="00A07C14" w:rsidP="00A07C14">
      <w:pPr>
        <w:pStyle w:val="ListParagraph"/>
        <w:numPr>
          <w:ilvl w:val="0"/>
          <w:numId w:val="4"/>
        </w:numPr>
        <w:spacing w:after="0"/>
        <w:rPr>
          <w:rFonts w:ascii="Arial" w:hAnsi="Arial" w:cs="Arial"/>
          <w:sz w:val="24"/>
          <w:szCs w:val="24"/>
        </w:rPr>
      </w:pPr>
      <w:r w:rsidRPr="00A07C14">
        <w:rPr>
          <w:rFonts w:ascii="Arial" w:hAnsi="Arial" w:cs="Arial"/>
          <w:sz w:val="24"/>
          <w:szCs w:val="24"/>
        </w:rPr>
        <w:t xml:space="preserve">Bedford College Professional </w:t>
      </w:r>
      <w:r>
        <w:rPr>
          <w:rFonts w:ascii="Arial" w:hAnsi="Arial" w:cs="Arial"/>
          <w:sz w:val="24"/>
          <w:szCs w:val="24"/>
        </w:rPr>
        <w:t>Services Ltd (BCPS)</w:t>
      </w:r>
    </w:p>
    <w:p w:rsidR="00A07C14" w:rsidRDefault="00A07C14" w:rsidP="00A07C14">
      <w:pPr>
        <w:pStyle w:val="ListParagraph"/>
        <w:numPr>
          <w:ilvl w:val="0"/>
          <w:numId w:val="4"/>
        </w:numPr>
        <w:spacing w:after="0"/>
        <w:rPr>
          <w:rFonts w:ascii="Arial" w:hAnsi="Arial" w:cs="Arial"/>
          <w:sz w:val="24"/>
          <w:szCs w:val="24"/>
        </w:rPr>
      </w:pPr>
      <w:r>
        <w:rPr>
          <w:rFonts w:ascii="Arial" w:hAnsi="Arial" w:cs="Arial"/>
          <w:sz w:val="24"/>
          <w:szCs w:val="24"/>
        </w:rPr>
        <w:t>Bedford College Services Ltd (BCS)</w:t>
      </w:r>
    </w:p>
    <w:p w:rsidR="00A07C14" w:rsidRDefault="00A07C14" w:rsidP="00A07C14">
      <w:pPr>
        <w:pStyle w:val="ListParagraph"/>
        <w:numPr>
          <w:ilvl w:val="0"/>
          <w:numId w:val="4"/>
        </w:numPr>
        <w:spacing w:after="0"/>
        <w:rPr>
          <w:rFonts w:ascii="Arial" w:hAnsi="Arial" w:cs="Arial"/>
          <w:sz w:val="24"/>
          <w:szCs w:val="24"/>
        </w:rPr>
      </w:pPr>
      <w:r>
        <w:rPr>
          <w:rFonts w:ascii="Arial" w:hAnsi="Arial" w:cs="Arial"/>
          <w:sz w:val="24"/>
          <w:szCs w:val="24"/>
        </w:rPr>
        <w:t>Aston Recruitment &amp; Training Limited</w:t>
      </w:r>
    </w:p>
    <w:p w:rsidR="00A07C14" w:rsidRDefault="00A07C14" w:rsidP="00A07C14">
      <w:pPr>
        <w:spacing w:after="0"/>
        <w:rPr>
          <w:rFonts w:ascii="Arial" w:hAnsi="Arial" w:cs="Arial"/>
          <w:sz w:val="24"/>
          <w:szCs w:val="24"/>
        </w:rPr>
      </w:pPr>
    </w:p>
    <w:p w:rsidR="00A07C14" w:rsidRPr="00A07C14" w:rsidRDefault="00A07C14" w:rsidP="00A07C14">
      <w:pPr>
        <w:spacing w:after="0"/>
        <w:rPr>
          <w:rFonts w:ascii="Arial" w:hAnsi="Arial" w:cs="Arial"/>
          <w:sz w:val="24"/>
          <w:szCs w:val="24"/>
        </w:rPr>
      </w:pPr>
      <w:r>
        <w:rPr>
          <w:rFonts w:ascii="Arial" w:hAnsi="Arial" w:cs="Arial"/>
          <w:sz w:val="24"/>
          <w:szCs w:val="24"/>
        </w:rPr>
        <w:t xml:space="preserve">In addition, Bedford College is a founder and sponsor member of Bedford College Academies Trust (BCAT) which has two school in the Trust, Wixams Academy and Wixams Tree Primary School. </w:t>
      </w:r>
    </w:p>
    <w:p w:rsidR="00244B8A" w:rsidRDefault="00244B8A" w:rsidP="00244B8A">
      <w:pPr>
        <w:spacing w:after="0"/>
        <w:rPr>
          <w:rFonts w:ascii="Arial" w:hAnsi="Arial" w:cs="Arial"/>
          <w:sz w:val="24"/>
          <w:szCs w:val="24"/>
        </w:rPr>
      </w:pPr>
    </w:p>
    <w:p w:rsidR="00DD19AD" w:rsidRDefault="00244B8A" w:rsidP="00244B8A">
      <w:pPr>
        <w:spacing w:after="0"/>
        <w:rPr>
          <w:rFonts w:ascii="Arial" w:hAnsi="Arial" w:cs="Arial"/>
          <w:sz w:val="24"/>
          <w:szCs w:val="24"/>
        </w:rPr>
      </w:pPr>
      <w:r w:rsidRPr="009F3912">
        <w:rPr>
          <w:rFonts w:ascii="Arial" w:hAnsi="Arial" w:cs="Arial"/>
          <w:sz w:val="24"/>
          <w:szCs w:val="24"/>
        </w:rPr>
        <w:t>In 201</w:t>
      </w:r>
      <w:r w:rsidR="00913255">
        <w:rPr>
          <w:rFonts w:ascii="Arial" w:hAnsi="Arial" w:cs="Arial"/>
          <w:sz w:val="24"/>
          <w:szCs w:val="24"/>
        </w:rPr>
        <w:t>9/2020</w:t>
      </w:r>
      <w:r w:rsidRPr="009F3912">
        <w:rPr>
          <w:rFonts w:ascii="Arial" w:hAnsi="Arial" w:cs="Arial"/>
          <w:sz w:val="24"/>
          <w:szCs w:val="24"/>
        </w:rPr>
        <w:t xml:space="preserve">, we had </w:t>
      </w:r>
      <w:r w:rsidR="0086397F">
        <w:rPr>
          <w:rFonts w:ascii="Arial" w:hAnsi="Arial" w:cs="Arial"/>
          <w:sz w:val="24"/>
          <w:szCs w:val="24"/>
        </w:rPr>
        <w:t>14,862</w:t>
      </w:r>
      <w:r w:rsidRPr="009F3912">
        <w:rPr>
          <w:rFonts w:ascii="Arial" w:hAnsi="Arial" w:cs="Arial"/>
          <w:sz w:val="24"/>
          <w:szCs w:val="24"/>
        </w:rPr>
        <w:t xml:space="preserve"> students study with us and employed </w:t>
      </w:r>
      <w:r w:rsidR="0086397F">
        <w:rPr>
          <w:rFonts w:ascii="Arial" w:hAnsi="Arial" w:cs="Arial"/>
          <w:sz w:val="24"/>
          <w:szCs w:val="24"/>
        </w:rPr>
        <w:t>902</w:t>
      </w:r>
      <w:r w:rsidRPr="009F3912">
        <w:rPr>
          <w:rFonts w:ascii="Arial" w:hAnsi="Arial" w:cs="Arial"/>
          <w:sz w:val="24"/>
          <w:szCs w:val="24"/>
        </w:rPr>
        <w:t xml:space="preserve"> staff</w:t>
      </w:r>
      <w:r w:rsidR="00E84F68">
        <w:rPr>
          <w:rFonts w:ascii="Arial" w:hAnsi="Arial" w:cs="Arial"/>
          <w:sz w:val="24"/>
          <w:szCs w:val="24"/>
        </w:rPr>
        <w:t xml:space="preserve"> </w:t>
      </w:r>
      <w:r w:rsidR="00A07C14">
        <w:rPr>
          <w:rFonts w:ascii="Arial" w:hAnsi="Arial" w:cs="Arial"/>
          <w:sz w:val="24"/>
          <w:szCs w:val="24"/>
        </w:rPr>
        <w:t xml:space="preserve">within Bedford College, Tresham College and BCPS Ltd. </w:t>
      </w:r>
    </w:p>
    <w:p w:rsidR="00F120C8" w:rsidRDefault="00F120C8" w:rsidP="00244B8A">
      <w:pPr>
        <w:spacing w:after="0"/>
        <w:rPr>
          <w:rFonts w:ascii="Arial" w:hAnsi="Arial" w:cs="Arial"/>
          <w:sz w:val="24"/>
          <w:szCs w:val="24"/>
        </w:rPr>
      </w:pPr>
    </w:p>
    <w:p w:rsidR="00F120C8" w:rsidRPr="00F120C8" w:rsidRDefault="00F120C8" w:rsidP="00244B8A">
      <w:pPr>
        <w:spacing w:after="0"/>
        <w:rPr>
          <w:rFonts w:ascii="Arial" w:hAnsi="Arial" w:cs="Arial"/>
          <w:b/>
          <w:sz w:val="24"/>
          <w:szCs w:val="24"/>
        </w:rPr>
      </w:pPr>
      <w:r>
        <w:rPr>
          <w:rFonts w:ascii="Arial" w:hAnsi="Arial" w:cs="Arial"/>
          <w:b/>
          <w:sz w:val="24"/>
          <w:szCs w:val="24"/>
        </w:rPr>
        <w:t>Gender Pay Reporting</w:t>
      </w:r>
    </w:p>
    <w:p w:rsidR="00F120C8" w:rsidRPr="00EA232E" w:rsidRDefault="00F120C8" w:rsidP="00F120C8">
      <w:pPr>
        <w:pStyle w:val="NormalWeb"/>
        <w:shd w:val="clear" w:color="auto" w:fill="FFFFFF"/>
        <w:rPr>
          <w:rFonts w:ascii="Arial" w:hAnsi="Arial" w:cs="Arial"/>
        </w:rPr>
      </w:pPr>
      <w:r w:rsidRPr="00EA232E">
        <w:rPr>
          <w:rFonts w:ascii="Arial" w:hAnsi="Arial" w:cs="Arial"/>
        </w:rPr>
        <w:t>In April 2017 legislation was introduced that requires all organisations who employ 250 or more people to report their gender pay gap based on either a snapshot of the workforce on the 31</w:t>
      </w:r>
      <w:r w:rsidRPr="00EA232E">
        <w:rPr>
          <w:rFonts w:ascii="Arial" w:hAnsi="Arial" w:cs="Arial"/>
          <w:vertAlign w:val="superscript"/>
        </w:rPr>
        <w:t>st</w:t>
      </w:r>
      <w:r w:rsidRPr="00EA232E">
        <w:rPr>
          <w:rFonts w:ascii="Arial" w:hAnsi="Arial" w:cs="Arial"/>
        </w:rPr>
        <w:t xml:space="preserve"> March or 5</w:t>
      </w:r>
      <w:r w:rsidRPr="00EA232E">
        <w:rPr>
          <w:rFonts w:ascii="Arial" w:hAnsi="Arial" w:cs="Arial"/>
          <w:vertAlign w:val="superscript"/>
        </w:rPr>
        <w:t>th</w:t>
      </w:r>
      <w:r w:rsidRPr="00EA232E">
        <w:rPr>
          <w:rFonts w:ascii="Arial" w:hAnsi="Arial" w:cs="Arial"/>
        </w:rPr>
        <w:t xml:space="preserve"> April each year.</w:t>
      </w:r>
    </w:p>
    <w:p w:rsidR="00F120C8" w:rsidRPr="00EA232E" w:rsidRDefault="00F120C8" w:rsidP="00F120C8">
      <w:pPr>
        <w:pStyle w:val="NormalWeb"/>
        <w:shd w:val="clear" w:color="auto" w:fill="FFFFFF"/>
        <w:rPr>
          <w:rFonts w:ascii="Arial" w:hAnsi="Arial" w:cs="Arial"/>
        </w:rPr>
      </w:pPr>
      <w:r w:rsidRPr="00EA232E">
        <w:rPr>
          <w:rFonts w:ascii="Arial" w:hAnsi="Arial" w:cs="Arial"/>
        </w:rPr>
        <w:t>The gender pay gap shows the percentage difference between the average salaries of women and men across the entire workforce, irrespective of role. It should be noted that the gender pay gap is different from Equal Pay which measures whether there is a difference in what men and women in specific equivalent roles are paid.</w:t>
      </w:r>
    </w:p>
    <w:p w:rsidR="00F120C8" w:rsidRPr="00FF3B20" w:rsidRDefault="00F120C8" w:rsidP="00F120C8">
      <w:pPr>
        <w:spacing w:after="0" w:line="240" w:lineRule="auto"/>
        <w:rPr>
          <w:rFonts w:ascii="Arial" w:hAnsi="Arial" w:cs="Arial"/>
          <w:sz w:val="24"/>
          <w:szCs w:val="24"/>
        </w:rPr>
      </w:pPr>
      <w:r>
        <w:rPr>
          <w:rFonts w:ascii="Arial" w:hAnsi="Arial" w:cs="Arial"/>
          <w:sz w:val="24"/>
          <w:szCs w:val="24"/>
        </w:rPr>
        <w:t>At the snapshot date of 31 March 2020, t</w:t>
      </w:r>
      <w:r w:rsidRPr="00244B8A">
        <w:rPr>
          <w:rFonts w:ascii="Arial" w:hAnsi="Arial" w:cs="Arial"/>
          <w:sz w:val="24"/>
          <w:szCs w:val="24"/>
        </w:rPr>
        <w:t xml:space="preserve">he statutory regulations </w:t>
      </w:r>
      <w:r>
        <w:rPr>
          <w:rFonts w:ascii="Arial" w:hAnsi="Arial" w:cs="Arial"/>
          <w:sz w:val="24"/>
          <w:szCs w:val="24"/>
        </w:rPr>
        <w:t xml:space="preserve">applied to Bedford College and Tresham College as a merged organisation. At the snapshot date of 5 </w:t>
      </w:r>
      <w:r>
        <w:rPr>
          <w:rFonts w:ascii="Arial" w:hAnsi="Arial" w:cs="Arial"/>
          <w:sz w:val="24"/>
          <w:szCs w:val="24"/>
        </w:rPr>
        <w:lastRenderedPageBreak/>
        <w:t xml:space="preserve">April 2020, the statutory regulations also applied to </w:t>
      </w:r>
      <w:r w:rsidRPr="00FF3B20">
        <w:rPr>
          <w:rFonts w:ascii="Arial" w:hAnsi="Arial" w:cs="Arial"/>
          <w:sz w:val="24"/>
          <w:szCs w:val="24"/>
        </w:rPr>
        <w:t>Bedford College Professional Services Ltd</w:t>
      </w:r>
      <w:r>
        <w:rPr>
          <w:rFonts w:ascii="Arial" w:hAnsi="Arial" w:cs="Arial"/>
          <w:sz w:val="24"/>
          <w:szCs w:val="24"/>
        </w:rPr>
        <w:t xml:space="preserve">. The headcount for </w:t>
      </w:r>
      <w:r w:rsidRPr="00FF3B20">
        <w:rPr>
          <w:rFonts w:ascii="Arial" w:hAnsi="Arial" w:cs="Arial"/>
          <w:sz w:val="24"/>
          <w:szCs w:val="24"/>
        </w:rPr>
        <w:t xml:space="preserve">Bedford College Services Ltd </w:t>
      </w:r>
      <w:r>
        <w:rPr>
          <w:rFonts w:ascii="Arial" w:hAnsi="Arial" w:cs="Arial"/>
          <w:sz w:val="24"/>
          <w:szCs w:val="24"/>
        </w:rPr>
        <w:t xml:space="preserve">remains </w:t>
      </w:r>
      <w:r w:rsidRPr="00FF3B20">
        <w:rPr>
          <w:rFonts w:ascii="Arial" w:hAnsi="Arial" w:cs="Arial"/>
          <w:sz w:val="24"/>
          <w:szCs w:val="24"/>
        </w:rPr>
        <w:t>below 250.</w:t>
      </w:r>
    </w:p>
    <w:p w:rsidR="00244B8A" w:rsidRDefault="00244B8A" w:rsidP="00244B8A">
      <w:pPr>
        <w:spacing w:after="0"/>
        <w:rPr>
          <w:rFonts w:ascii="Arial" w:hAnsi="Arial" w:cs="Arial"/>
          <w:sz w:val="24"/>
          <w:szCs w:val="24"/>
        </w:rPr>
      </w:pPr>
    </w:p>
    <w:p w:rsidR="00EE4AC6" w:rsidRDefault="00EE4AC6" w:rsidP="00244B8A">
      <w:pPr>
        <w:spacing w:after="0"/>
        <w:rPr>
          <w:rFonts w:ascii="Arial" w:hAnsi="Arial" w:cs="Arial"/>
          <w:b/>
          <w:sz w:val="24"/>
          <w:szCs w:val="24"/>
        </w:rPr>
      </w:pPr>
      <w:r>
        <w:rPr>
          <w:rFonts w:ascii="Arial" w:hAnsi="Arial" w:cs="Arial"/>
          <w:b/>
          <w:sz w:val="24"/>
          <w:szCs w:val="24"/>
        </w:rPr>
        <w:t>Gender Pay – Bedford College Results</w:t>
      </w:r>
    </w:p>
    <w:p w:rsidR="00244B8A" w:rsidRDefault="00244B8A" w:rsidP="00244B8A">
      <w:pPr>
        <w:spacing w:after="0"/>
        <w:rPr>
          <w:rFonts w:ascii="Arial" w:hAnsi="Arial" w:cs="Arial"/>
          <w:sz w:val="24"/>
          <w:szCs w:val="24"/>
        </w:rPr>
      </w:pPr>
      <w:r>
        <w:rPr>
          <w:rFonts w:ascii="Arial" w:hAnsi="Arial" w:cs="Arial"/>
          <w:sz w:val="24"/>
          <w:szCs w:val="24"/>
        </w:rPr>
        <w:t xml:space="preserve"> </w:t>
      </w:r>
    </w:p>
    <w:tbl>
      <w:tblPr>
        <w:tblStyle w:val="TableGrid"/>
        <w:tblW w:w="9639" w:type="dxa"/>
        <w:tblInd w:w="108" w:type="dxa"/>
        <w:tblLook w:val="04A0" w:firstRow="1" w:lastRow="0" w:firstColumn="1" w:lastColumn="0" w:noHBand="0" w:noVBand="1"/>
      </w:tblPr>
      <w:tblGrid>
        <w:gridCol w:w="5103"/>
        <w:gridCol w:w="4536"/>
      </w:tblGrid>
      <w:tr w:rsidR="00EE4AC6" w:rsidTr="00EE4AC6">
        <w:tc>
          <w:tcPr>
            <w:tcW w:w="5103" w:type="dxa"/>
          </w:tcPr>
          <w:p w:rsidR="00EE4AC6" w:rsidRDefault="00EE4AC6" w:rsidP="00BD5427">
            <w:pPr>
              <w:rPr>
                <w:rFonts w:ascii="Arial" w:hAnsi="Arial" w:cs="Arial"/>
                <w:sz w:val="24"/>
                <w:szCs w:val="24"/>
              </w:rPr>
            </w:pPr>
            <w:r>
              <w:rPr>
                <w:rFonts w:ascii="Arial" w:hAnsi="Arial" w:cs="Arial"/>
                <w:sz w:val="24"/>
                <w:szCs w:val="24"/>
              </w:rPr>
              <w:t>Calculation</w:t>
            </w:r>
          </w:p>
        </w:tc>
        <w:tc>
          <w:tcPr>
            <w:tcW w:w="4536" w:type="dxa"/>
          </w:tcPr>
          <w:p w:rsidR="00EE4AC6" w:rsidRDefault="00EE4AC6" w:rsidP="00BD5427">
            <w:pPr>
              <w:rPr>
                <w:rFonts w:ascii="Arial" w:hAnsi="Arial" w:cs="Arial"/>
                <w:sz w:val="24"/>
                <w:szCs w:val="24"/>
              </w:rPr>
            </w:pPr>
            <w:r>
              <w:rPr>
                <w:rFonts w:ascii="Arial" w:hAnsi="Arial" w:cs="Arial"/>
                <w:sz w:val="24"/>
                <w:szCs w:val="24"/>
              </w:rPr>
              <w:t>Result</w:t>
            </w:r>
          </w:p>
        </w:tc>
      </w:tr>
      <w:tr w:rsidR="00EE4AC6" w:rsidTr="00EE4AC6">
        <w:tc>
          <w:tcPr>
            <w:tcW w:w="5103" w:type="dxa"/>
          </w:tcPr>
          <w:p w:rsidR="00EE4AC6" w:rsidRDefault="00EE4AC6" w:rsidP="00BD5427">
            <w:pPr>
              <w:rPr>
                <w:rFonts w:ascii="Arial" w:hAnsi="Arial" w:cs="Arial"/>
                <w:sz w:val="24"/>
                <w:szCs w:val="24"/>
              </w:rPr>
            </w:pPr>
            <w:r>
              <w:rPr>
                <w:rFonts w:ascii="Arial" w:hAnsi="Arial" w:cs="Arial"/>
                <w:sz w:val="24"/>
                <w:szCs w:val="24"/>
              </w:rPr>
              <w:t xml:space="preserve">1. Mean gender pay </w:t>
            </w:r>
          </w:p>
        </w:tc>
        <w:tc>
          <w:tcPr>
            <w:tcW w:w="4536" w:type="dxa"/>
          </w:tcPr>
          <w:p w:rsidR="00EE4AC6" w:rsidRDefault="0086397F" w:rsidP="00BD5427">
            <w:pPr>
              <w:rPr>
                <w:rFonts w:ascii="Arial" w:hAnsi="Arial" w:cs="Arial"/>
                <w:sz w:val="24"/>
                <w:szCs w:val="24"/>
              </w:rPr>
            </w:pPr>
            <w:r>
              <w:rPr>
                <w:rFonts w:ascii="Arial" w:hAnsi="Arial" w:cs="Arial"/>
                <w:sz w:val="24"/>
                <w:szCs w:val="24"/>
              </w:rPr>
              <w:t>3.7</w:t>
            </w:r>
            <w:r w:rsidR="00EE4AC6">
              <w:rPr>
                <w:rFonts w:ascii="Arial" w:hAnsi="Arial" w:cs="Arial"/>
                <w:sz w:val="24"/>
                <w:szCs w:val="24"/>
              </w:rPr>
              <w:t>%</w:t>
            </w:r>
          </w:p>
          <w:p w:rsidR="00EE4AC6" w:rsidRDefault="00EE4AC6" w:rsidP="00BD5427">
            <w:pPr>
              <w:rPr>
                <w:rFonts w:ascii="Arial" w:hAnsi="Arial" w:cs="Arial"/>
                <w:sz w:val="24"/>
                <w:szCs w:val="24"/>
              </w:rPr>
            </w:pPr>
          </w:p>
        </w:tc>
      </w:tr>
      <w:tr w:rsidR="00EE4AC6" w:rsidTr="00EE4AC6">
        <w:tc>
          <w:tcPr>
            <w:tcW w:w="5103" w:type="dxa"/>
          </w:tcPr>
          <w:p w:rsidR="00EE4AC6" w:rsidRDefault="00EE4AC6" w:rsidP="00BD5427">
            <w:pPr>
              <w:rPr>
                <w:rFonts w:ascii="Arial" w:hAnsi="Arial" w:cs="Arial"/>
                <w:sz w:val="24"/>
                <w:szCs w:val="24"/>
              </w:rPr>
            </w:pPr>
            <w:r>
              <w:rPr>
                <w:rFonts w:ascii="Arial" w:hAnsi="Arial" w:cs="Arial"/>
                <w:sz w:val="24"/>
                <w:szCs w:val="24"/>
              </w:rPr>
              <w:t xml:space="preserve">2. Median gender pay </w:t>
            </w:r>
          </w:p>
        </w:tc>
        <w:tc>
          <w:tcPr>
            <w:tcW w:w="4536" w:type="dxa"/>
          </w:tcPr>
          <w:p w:rsidR="00EE4AC6" w:rsidRDefault="0086397F" w:rsidP="00BD5427">
            <w:pPr>
              <w:rPr>
                <w:rFonts w:ascii="Arial" w:hAnsi="Arial" w:cs="Arial"/>
                <w:sz w:val="24"/>
                <w:szCs w:val="24"/>
              </w:rPr>
            </w:pPr>
            <w:r>
              <w:rPr>
                <w:rFonts w:ascii="Arial" w:hAnsi="Arial" w:cs="Arial"/>
                <w:sz w:val="24"/>
                <w:szCs w:val="24"/>
              </w:rPr>
              <w:t>7.2</w:t>
            </w:r>
            <w:r w:rsidR="00EE4AC6">
              <w:rPr>
                <w:rFonts w:ascii="Arial" w:hAnsi="Arial" w:cs="Arial"/>
                <w:sz w:val="24"/>
                <w:szCs w:val="24"/>
              </w:rPr>
              <w:t>%</w:t>
            </w:r>
          </w:p>
          <w:p w:rsidR="00EE4AC6" w:rsidRDefault="00EE4AC6" w:rsidP="00BD5427">
            <w:pPr>
              <w:rPr>
                <w:rFonts w:ascii="Arial" w:hAnsi="Arial" w:cs="Arial"/>
                <w:sz w:val="24"/>
                <w:szCs w:val="24"/>
              </w:rPr>
            </w:pPr>
          </w:p>
        </w:tc>
      </w:tr>
      <w:tr w:rsidR="00EE4AC6" w:rsidTr="00EE4AC6">
        <w:tc>
          <w:tcPr>
            <w:tcW w:w="5103" w:type="dxa"/>
          </w:tcPr>
          <w:p w:rsidR="00EE4AC6" w:rsidRDefault="00EE4AC6" w:rsidP="00BD5427">
            <w:pPr>
              <w:rPr>
                <w:rFonts w:ascii="Arial" w:hAnsi="Arial" w:cs="Arial"/>
                <w:sz w:val="24"/>
                <w:szCs w:val="24"/>
              </w:rPr>
            </w:pPr>
            <w:r>
              <w:rPr>
                <w:rFonts w:ascii="Arial" w:hAnsi="Arial" w:cs="Arial"/>
                <w:sz w:val="24"/>
                <w:szCs w:val="24"/>
              </w:rPr>
              <w:t xml:space="preserve">3. Mean bonus gender pay </w:t>
            </w:r>
          </w:p>
        </w:tc>
        <w:tc>
          <w:tcPr>
            <w:tcW w:w="4536" w:type="dxa"/>
          </w:tcPr>
          <w:p w:rsidR="00EE4AC6" w:rsidRDefault="0086397F" w:rsidP="00BD5427">
            <w:pPr>
              <w:rPr>
                <w:rFonts w:ascii="Arial" w:hAnsi="Arial" w:cs="Arial"/>
                <w:sz w:val="24"/>
                <w:szCs w:val="24"/>
              </w:rPr>
            </w:pPr>
            <w:r>
              <w:rPr>
                <w:rFonts w:ascii="Arial" w:hAnsi="Arial" w:cs="Arial"/>
                <w:sz w:val="24"/>
                <w:szCs w:val="24"/>
              </w:rPr>
              <w:t>-22.8</w:t>
            </w:r>
            <w:r w:rsidR="00EE4AC6">
              <w:rPr>
                <w:rFonts w:ascii="Arial" w:hAnsi="Arial" w:cs="Arial"/>
                <w:sz w:val="24"/>
                <w:szCs w:val="24"/>
              </w:rPr>
              <w:t>%</w:t>
            </w:r>
          </w:p>
          <w:p w:rsidR="00EE4AC6" w:rsidRDefault="00EE4AC6" w:rsidP="00BD5427">
            <w:pPr>
              <w:rPr>
                <w:rFonts w:ascii="Arial" w:hAnsi="Arial" w:cs="Arial"/>
                <w:sz w:val="24"/>
                <w:szCs w:val="24"/>
              </w:rPr>
            </w:pPr>
          </w:p>
        </w:tc>
      </w:tr>
      <w:tr w:rsidR="00EE4AC6" w:rsidTr="00EE4AC6">
        <w:tc>
          <w:tcPr>
            <w:tcW w:w="5103" w:type="dxa"/>
          </w:tcPr>
          <w:p w:rsidR="00EE4AC6" w:rsidRDefault="00EE4AC6" w:rsidP="00BD5427">
            <w:pPr>
              <w:rPr>
                <w:rFonts w:ascii="Arial" w:hAnsi="Arial" w:cs="Arial"/>
                <w:sz w:val="24"/>
                <w:szCs w:val="24"/>
              </w:rPr>
            </w:pPr>
            <w:r>
              <w:rPr>
                <w:rFonts w:ascii="Arial" w:hAnsi="Arial" w:cs="Arial"/>
                <w:sz w:val="24"/>
                <w:szCs w:val="24"/>
              </w:rPr>
              <w:t xml:space="preserve">4. Median bonus  gender pay </w:t>
            </w:r>
          </w:p>
        </w:tc>
        <w:tc>
          <w:tcPr>
            <w:tcW w:w="4536" w:type="dxa"/>
          </w:tcPr>
          <w:p w:rsidR="00EE4AC6" w:rsidRDefault="00EE4AC6" w:rsidP="00BD5427">
            <w:pPr>
              <w:rPr>
                <w:rFonts w:ascii="Arial" w:hAnsi="Arial" w:cs="Arial"/>
                <w:sz w:val="24"/>
                <w:szCs w:val="24"/>
              </w:rPr>
            </w:pPr>
            <w:r>
              <w:rPr>
                <w:rFonts w:ascii="Arial" w:hAnsi="Arial" w:cs="Arial"/>
                <w:sz w:val="24"/>
                <w:szCs w:val="24"/>
              </w:rPr>
              <w:t>0%</w:t>
            </w:r>
          </w:p>
          <w:p w:rsidR="00EE4AC6" w:rsidRDefault="00EE4AC6" w:rsidP="00BD5427">
            <w:pPr>
              <w:rPr>
                <w:rFonts w:ascii="Arial" w:hAnsi="Arial" w:cs="Arial"/>
                <w:sz w:val="24"/>
                <w:szCs w:val="24"/>
              </w:rPr>
            </w:pPr>
          </w:p>
        </w:tc>
      </w:tr>
      <w:tr w:rsidR="00EE4AC6" w:rsidTr="00EE4AC6">
        <w:tc>
          <w:tcPr>
            <w:tcW w:w="5103" w:type="dxa"/>
          </w:tcPr>
          <w:p w:rsidR="00EE4AC6" w:rsidRDefault="00EE4AC6" w:rsidP="00E3314D">
            <w:pPr>
              <w:rPr>
                <w:rFonts w:ascii="Arial" w:hAnsi="Arial" w:cs="Arial"/>
                <w:sz w:val="24"/>
                <w:szCs w:val="24"/>
              </w:rPr>
            </w:pPr>
            <w:r>
              <w:rPr>
                <w:rFonts w:ascii="Arial" w:hAnsi="Arial" w:cs="Arial"/>
                <w:sz w:val="24"/>
                <w:szCs w:val="24"/>
              </w:rPr>
              <w:t>5. Proportion of males and females receiving a bonus payment</w:t>
            </w:r>
          </w:p>
        </w:tc>
        <w:tc>
          <w:tcPr>
            <w:tcW w:w="4536" w:type="dxa"/>
          </w:tcPr>
          <w:p w:rsidR="00EE4AC6" w:rsidRDefault="0086397F" w:rsidP="00BD5427">
            <w:pPr>
              <w:rPr>
                <w:rFonts w:ascii="Arial" w:hAnsi="Arial" w:cs="Arial"/>
                <w:sz w:val="24"/>
                <w:szCs w:val="24"/>
              </w:rPr>
            </w:pPr>
            <w:r>
              <w:rPr>
                <w:rFonts w:ascii="Arial" w:hAnsi="Arial" w:cs="Arial"/>
                <w:sz w:val="24"/>
                <w:szCs w:val="24"/>
              </w:rPr>
              <w:t>56.9</w:t>
            </w:r>
            <w:r w:rsidR="00EE4AC6">
              <w:rPr>
                <w:rFonts w:ascii="Arial" w:hAnsi="Arial" w:cs="Arial"/>
                <w:sz w:val="24"/>
                <w:szCs w:val="24"/>
              </w:rPr>
              <w:t>% (male)</w:t>
            </w:r>
          </w:p>
          <w:p w:rsidR="00EE4AC6" w:rsidRDefault="0086397F" w:rsidP="00BD5427">
            <w:pPr>
              <w:rPr>
                <w:rFonts w:ascii="Arial" w:hAnsi="Arial" w:cs="Arial"/>
                <w:sz w:val="24"/>
                <w:szCs w:val="24"/>
              </w:rPr>
            </w:pPr>
            <w:r>
              <w:rPr>
                <w:rFonts w:ascii="Arial" w:hAnsi="Arial" w:cs="Arial"/>
                <w:sz w:val="24"/>
                <w:szCs w:val="24"/>
              </w:rPr>
              <w:t>45.4</w:t>
            </w:r>
            <w:r w:rsidR="00EE4AC6">
              <w:rPr>
                <w:rFonts w:ascii="Arial" w:hAnsi="Arial" w:cs="Arial"/>
                <w:sz w:val="24"/>
                <w:szCs w:val="24"/>
              </w:rPr>
              <w:t>% (female)</w:t>
            </w:r>
          </w:p>
        </w:tc>
      </w:tr>
    </w:tbl>
    <w:p w:rsidR="009F3912" w:rsidRDefault="009F3912" w:rsidP="00BD5427">
      <w:pPr>
        <w:spacing w:after="0" w:line="240" w:lineRule="auto"/>
        <w:rPr>
          <w:rFonts w:ascii="Arial" w:hAnsi="Arial" w:cs="Arial"/>
          <w:sz w:val="24"/>
          <w:szCs w:val="24"/>
        </w:rPr>
      </w:pPr>
    </w:p>
    <w:p w:rsidR="00BD5427" w:rsidRDefault="00BD5427" w:rsidP="00BD5427">
      <w:pPr>
        <w:spacing w:after="0" w:line="240" w:lineRule="auto"/>
        <w:rPr>
          <w:rFonts w:ascii="Arial" w:hAnsi="Arial" w:cs="Arial"/>
          <w:sz w:val="24"/>
          <w:szCs w:val="24"/>
        </w:rPr>
      </w:pPr>
      <w:r>
        <w:rPr>
          <w:rFonts w:ascii="Arial" w:hAnsi="Arial" w:cs="Arial"/>
          <w:sz w:val="24"/>
          <w:szCs w:val="24"/>
        </w:rPr>
        <w:t>The graph below shows the proportion of males and females in each quartile pay band:</w:t>
      </w:r>
    </w:p>
    <w:p w:rsidR="00BD5427" w:rsidRDefault="00BD5427" w:rsidP="00BD5427">
      <w:pPr>
        <w:spacing w:after="0" w:line="240" w:lineRule="auto"/>
        <w:rPr>
          <w:rFonts w:ascii="Arial" w:hAnsi="Arial" w:cs="Arial"/>
          <w:sz w:val="24"/>
          <w:szCs w:val="24"/>
        </w:rPr>
      </w:pPr>
    </w:p>
    <w:p w:rsidR="00BD5427" w:rsidRDefault="00467F1B" w:rsidP="00BD5427">
      <w:pPr>
        <w:spacing w:after="0" w:line="240" w:lineRule="auto"/>
        <w:rPr>
          <w:rFonts w:ascii="Arial" w:hAnsi="Arial" w:cs="Arial"/>
          <w:sz w:val="24"/>
          <w:szCs w:val="24"/>
        </w:rPr>
      </w:pPr>
      <w:r>
        <w:rPr>
          <w:noProof/>
          <w:lang w:eastAsia="en-GB"/>
        </w:rPr>
        <w:drawing>
          <wp:inline distT="0" distB="0" distL="0" distR="0" wp14:anchorId="5EB64478" wp14:editId="7A205D33">
            <wp:extent cx="5731510" cy="3739515"/>
            <wp:effectExtent l="0" t="0" r="2540"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D5427" w:rsidRDefault="00BD5427" w:rsidP="00BD5427">
      <w:pPr>
        <w:spacing w:after="0" w:line="240" w:lineRule="auto"/>
        <w:rPr>
          <w:rFonts w:ascii="Arial" w:hAnsi="Arial" w:cs="Arial"/>
          <w:sz w:val="24"/>
          <w:szCs w:val="24"/>
        </w:rPr>
      </w:pPr>
    </w:p>
    <w:p w:rsidR="00BD5427" w:rsidRDefault="00BD5427" w:rsidP="00BD5427">
      <w:pPr>
        <w:spacing w:after="0" w:line="240" w:lineRule="auto"/>
        <w:rPr>
          <w:rFonts w:ascii="Arial" w:hAnsi="Arial" w:cs="Arial"/>
          <w:sz w:val="24"/>
          <w:szCs w:val="24"/>
        </w:rPr>
      </w:pPr>
      <w:r>
        <w:rPr>
          <w:rFonts w:ascii="Arial" w:hAnsi="Arial" w:cs="Arial"/>
          <w:sz w:val="24"/>
          <w:szCs w:val="24"/>
        </w:rPr>
        <w:t>The data above has been calculated using the methodology set out in The Equality Act 2010 (Specific Duties and Public Authorities) Regulations 2017.</w:t>
      </w:r>
    </w:p>
    <w:p w:rsidR="00E3314D" w:rsidRDefault="00E3314D" w:rsidP="00244B8A">
      <w:pPr>
        <w:spacing w:after="0"/>
        <w:rPr>
          <w:rFonts w:ascii="Arial" w:hAnsi="Arial" w:cs="Arial"/>
          <w:sz w:val="24"/>
          <w:szCs w:val="24"/>
        </w:rPr>
      </w:pPr>
    </w:p>
    <w:p w:rsidR="00EA232E" w:rsidRDefault="00EA232E" w:rsidP="00244B8A">
      <w:pPr>
        <w:spacing w:after="0"/>
        <w:rPr>
          <w:rFonts w:ascii="Arial" w:hAnsi="Arial" w:cs="Arial"/>
          <w:b/>
          <w:sz w:val="24"/>
          <w:szCs w:val="24"/>
        </w:rPr>
      </w:pPr>
    </w:p>
    <w:p w:rsidR="00EA232E" w:rsidRDefault="00EA232E" w:rsidP="00244B8A">
      <w:pPr>
        <w:spacing w:after="0"/>
        <w:rPr>
          <w:rFonts w:ascii="Arial" w:hAnsi="Arial" w:cs="Arial"/>
          <w:b/>
          <w:sz w:val="24"/>
          <w:szCs w:val="24"/>
        </w:rPr>
      </w:pPr>
    </w:p>
    <w:p w:rsidR="00EA232E" w:rsidRDefault="00EA232E" w:rsidP="00244B8A">
      <w:pPr>
        <w:spacing w:after="0"/>
        <w:rPr>
          <w:rFonts w:ascii="Arial" w:hAnsi="Arial" w:cs="Arial"/>
          <w:b/>
          <w:sz w:val="24"/>
          <w:szCs w:val="24"/>
        </w:rPr>
      </w:pPr>
    </w:p>
    <w:p w:rsidR="00F120C8" w:rsidRDefault="00F120C8" w:rsidP="00244B8A">
      <w:pPr>
        <w:spacing w:after="0"/>
        <w:rPr>
          <w:rFonts w:ascii="Arial" w:hAnsi="Arial" w:cs="Arial"/>
          <w:b/>
          <w:sz w:val="24"/>
          <w:szCs w:val="24"/>
        </w:rPr>
      </w:pPr>
      <w:r>
        <w:rPr>
          <w:rFonts w:ascii="Arial" w:hAnsi="Arial" w:cs="Arial"/>
          <w:b/>
          <w:sz w:val="24"/>
          <w:szCs w:val="24"/>
        </w:rPr>
        <w:lastRenderedPageBreak/>
        <w:t>Findings</w:t>
      </w:r>
    </w:p>
    <w:p w:rsidR="00F120C8" w:rsidRDefault="00F120C8" w:rsidP="00D759A4">
      <w:pPr>
        <w:spacing w:before="240" w:after="0"/>
        <w:rPr>
          <w:rFonts w:ascii="Arial" w:hAnsi="Arial" w:cs="Arial"/>
          <w:sz w:val="24"/>
          <w:szCs w:val="24"/>
        </w:rPr>
      </w:pPr>
      <w:r>
        <w:rPr>
          <w:rFonts w:ascii="Arial" w:hAnsi="Arial" w:cs="Arial"/>
          <w:sz w:val="24"/>
          <w:szCs w:val="24"/>
        </w:rPr>
        <w:t xml:space="preserve">At the snapshot date, there were 644 full pay relevant employees, of which 43% identified as male and 57% as female. </w:t>
      </w:r>
    </w:p>
    <w:p w:rsidR="007902A2" w:rsidRDefault="008411E9" w:rsidP="007902A2">
      <w:pPr>
        <w:spacing w:before="240" w:after="0"/>
        <w:rPr>
          <w:rFonts w:ascii="Arial" w:hAnsi="Arial" w:cs="Arial"/>
          <w:sz w:val="24"/>
          <w:szCs w:val="24"/>
          <w:shd w:val="clear" w:color="auto" w:fill="FFFFFF"/>
        </w:rPr>
      </w:pPr>
      <w:r>
        <w:rPr>
          <w:rFonts w:ascii="Arial" w:hAnsi="Arial" w:cs="Arial"/>
          <w:sz w:val="24"/>
          <w:szCs w:val="24"/>
        </w:rPr>
        <w:t xml:space="preserve">The mean gender gap has reduced to 3.7% on 31 March 2020 from 5.9% on 31 March 2019. </w:t>
      </w:r>
      <w:r w:rsidRPr="008411E9">
        <w:rPr>
          <w:rFonts w:ascii="Arial" w:hAnsi="Arial" w:cs="Arial"/>
          <w:sz w:val="24"/>
          <w:szCs w:val="24"/>
        </w:rPr>
        <w:t xml:space="preserve">The median gender pay gap has increased slightly to 7.2% from 6.7% in 2019. </w:t>
      </w:r>
      <w:r>
        <w:rPr>
          <w:rFonts w:ascii="Arial" w:hAnsi="Arial" w:cs="Arial"/>
          <w:sz w:val="24"/>
          <w:szCs w:val="24"/>
        </w:rPr>
        <w:t xml:space="preserve">This compares favourably against </w:t>
      </w:r>
      <w:r w:rsidRPr="008411E9">
        <w:rPr>
          <w:rFonts w:ascii="Arial" w:hAnsi="Arial" w:cs="Arial"/>
          <w:sz w:val="24"/>
          <w:szCs w:val="24"/>
        </w:rPr>
        <w:t xml:space="preserve">the </w:t>
      </w:r>
      <w:r w:rsidRPr="008411E9">
        <w:rPr>
          <w:rFonts w:ascii="Arial" w:hAnsi="Arial" w:cs="Arial"/>
          <w:sz w:val="24"/>
          <w:szCs w:val="24"/>
          <w:shd w:val="clear" w:color="auto" w:fill="FFFFFF"/>
        </w:rPr>
        <w:t>Office o</w:t>
      </w:r>
      <w:r>
        <w:rPr>
          <w:rFonts w:ascii="Arial" w:hAnsi="Arial" w:cs="Arial"/>
          <w:sz w:val="24"/>
          <w:szCs w:val="24"/>
          <w:shd w:val="clear" w:color="auto" w:fill="FFFFFF"/>
        </w:rPr>
        <w:t>f National Statistics (ONS) 2020</w:t>
      </w:r>
      <w:r w:rsidRPr="008411E9">
        <w:rPr>
          <w:rFonts w:ascii="Arial" w:hAnsi="Arial" w:cs="Arial"/>
          <w:sz w:val="24"/>
          <w:szCs w:val="24"/>
          <w:shd w:val="clear" w:color="auto" w:fill="FFFFFF"/>
        </w:rPr>
        <w:t xml:space="preserve"> figures </w:t>
      </w:r>
      <w:r w:rsidR="007902A2">
        <w:rPr>
          <w:rFonts w:ascii="Arial" w:hAnsi="Arial" w:cs="Arial"/>
          <w:sz w:val="24"/>
          <w:szCs w:val="24"/>
          <w:shd w:val="clear" w:color="auto" w:fill="FFFFFF"/>
        </w:rPr>
        <w:t xml:space="preserve">for the Education sector </w:t>
      </w:r>
      <w:r w:rsidRPr="008411E9">
        <w:rPr>
          <w:rFonts w:ascii="Arial" w:hAnsi="Arial" w:cs="Arial"/>
          <w:sz w:val="24"/>
          <w:szCs w:val="24"/>
          <w:shd w:val="clear" w:color="auto" w:fill="FFFFFF"/>
        </w:rPr>
        <w:t>which r</w:t>
      </w:r>
      <w:r>
        <w:rPr>
          <w:rFonts w:ascii="Arial" w:hAnsi="Arial" w:cs="Arial"/>
          <w:sz w:val="24"/>
          <w:szCs w:val="24"/>
          <w:shd w:val="clear" w:color="auto" w:fill="FFFFFF"/>
        </w:rPr>
        <w:t>eported the average mean at 17.1</w:t>
      </w:r>
      <w:r w:rsidRPr="008411E9">
        <w:rPr>
          <w:rFonts w:ascii="Arial" w:hAnsi="Arial" w:cs="Arial"/>
          <w:sz w:val="24"/>
          <w:szCs w:val="24"/>
          <w:shd w:val="clear" w:color="auto" w:fill="FFFFFF"/>
        </w:rPr>
        <w:t xml:space="preserve">% and the average median at </w:t>
      </w:r>
      <w:r w:rsidR="007902A2">
        <w:rPr>
          <w:rFonts w:ascii="Arial" w:hAnsi="Arial" w:cs="Arial"/>
          <w:sz w:val="24"/>
          <w:szCs w:val="24"/>
          <w:shd w:val="clear" w:color="auto" w:fill="FFFFFF"/>
        </w:rPr>
        <w:t>24.6</w:t>
      </w:r>
      <w:r w:rsidRPr="008411E9">
        <w:rPr>
          <w:rFonts w:ascii="Arial" w:hAnsi="Arial" w:cs="Arial"/>
          <w:sz w:val="24"/>
          <w:szCs w:val="24"/>
          <w:shd w:val="clear" w:color="auto" w:fill="FFFFFF"/>
        </w:rPr>
        <w:t>%</w:t>
      </w:r>
      <w:r w:rsidR="007902A2">
        <w:rPr>
          <w:rFonts w:ascii="Arial" w:hAnsi="Arial" w:cs="Arial"/>
          <w:sz w:val="24"/>
          <w:szCs w:val="24"/>
          <w:shd w:val="clear" w:color="auto" w:fill="FFFFFF"/>
        </w:rPr>
        <w:t xml:space="preserve">. </w:t>
      </w:r>
    </w:p>
    <w:p w:rsidR="007902A2" w:rsidRPr="007902A2" w:rsidRDefault="007902A2" w:rsidP="00EA232E">
      <w:pPr>
        <w:spacing w:before="240" w:after="0"/>
        <w:rPr>
          <w:rFonts w:ascii="Arial" w:eastAsia="Times New Roman" w:hAnsi="Arial" w:cs="Arial"/>
          <w:sz w:val="24"/>
          <w:szCs w:val="24"/>
          <w:lang w:eastAsia="en-GB"/>
        </w:rPr>
      </w:pPr>
      <w:r w:rsidRPr="007902A2">
        <w:rPr>
          <w:rFonts w:ascii="Arial" w:eastAsia="Times New Roman" w:hAnsi="Arial" w:cs="Arial"/>
          <w:sz w:val="24"/>
          <w:szCs w:val="24"/>
          <w:lang w:eastAsia="en-GB"/>
        </w:rPr>
        <w:t xml:space="preserve">As can be seen from the </w:t>
      </w:r>
      <w:r>
        <w:rPr>
          <w:rFonts w:ascii="Arial" w:eastAsia="Times New Roman" w:hAnsi="Arial" w:cs="Arial"/>
          <w:sz w:val="24"/>
          <w:szCs w:val="24"/>
          <w:lang w:eastAsia="en-GB"/>
        </w:rPr>
        <w:t>results</w:t>
      </w:r>
      <w:r w:rsidRPr="007902A2">
        <w:rPr>
          <w:rFonts w:ascii="Arial" w:eastAsia="Times New Roman" w:hAnsi="Arial" w:cs="Arial"/>
          <w:sz w:val="24"/>
          <w:szCs w:val="24"/>
          <w:lang w:eastAsia="en-GB"/>
        </w:rPr>
        <w:t>, a higher percentage of</w:t>
      </w:r>
      <w:r w:rsidR="00EA232E">
        <w:rPr>
          <w:rFonts w:ascii="Arial" w:eastAsia="Times New Roman" w:hAnsi="Arial" w:cs="Arial"/>
          <w:sz w:val="24"/>
          <w:szCs w:val="24"/>
          <w:lang w:eastAsia="en-GB"/>
        </w:rPr>
        <w:t xml:space="preserve"> men than women received bonuses however women received 22.8% higher rate of bonus. A</w:t>
      </w:r>
      <w:r w:rsidRPr="007902A2">
        <w:rPr>
          <w:rFonts w:ascii="Arial" w:eastAsia="Times New Roman" w:hAnsi="Arial" w:cs="Arial"/>
          <w:sz w:val="24"/>
          <w:szCs w:val="24"/>
          <w:lang w:eastAsia="en-GB"/>
        </w:rPr>
        <w:t>dditionally, the median illustrates that the mid-point received for each grade showed an equal rate.</w:t>
      </w:r>
    </w:p>
    <w:p w:rsidR="00F120C8" w:rsidRDefault="00F120C8" w:rsidP="00244B8A">
      <w:pPr>
        <w:spacing w:after="0"/>
        <w:rPr>
          <w:rFonts w:ascii="Arial" w:hAnsi="Arial" w:cs="Arial"/>
          <w:b/>
          <w:sz w:val="24"/>
          <w:szCs w:val="24"/>
        </w:rPr>
      </w:pPr>
    </w:p>
    <w:p w:rsidR="009E6BC7" w:rsidRPr="009E6BC7" w:rsidRDefault="009E6BC7" w:rsidP="00244B8A">
      <w:pPr>
        <w:spacing w:after="0"/>
        <w:rPr>
          <w:rFonts w:ascii="Arial" w:hAnsi="Arial" w:cs="Arial"/>
          <w:b/>
          <w:sz w:val="24"/>
          <w:szCs w:val="24"/>
          <w:u w:val="single"/>
        </w:rPr>
      </w:pPr>
      <w:r w:rsidRPr="009E6BC7">
        <w:rPr>
          <w:rFonts w:ascii="Arial" w:hAnsi="Arial" w:cs="Arial"/>
          <w:b/>
          <w:sz w:val="24"/>
          <w:szCs w:val="24"/>
          <w:u w:val="single"/>
        </w:rPr>
        <w:t>Bedford College Professional Services Ltd</w:t>
      </w:r>
    </w:p>
    <w:p w:rsidR="009E6BC7" w:rsidRDefault="009E6BC7" w:rsidP="00244B8A">
      <w:pPr>
        <w:spacing w:after="0"/>
        <w:rPr>
          <w:rFonts w:ascii="Arial" w:hAnsi="Arial" w:cs="Arial"/>
          <w:sz w:val="24"/>
          <w:szCs w:val="24"/>
          <w:u w:val="single"/>
        </w:rPr>
      </w:pPr>
    </w:p>
    <w:p w:rsidR="009E6BC7" w:rsidRDefault="009E6BC7" w:rsidP="00244B8A">
      <w:pPr>
        <w:spacing w:after="0"/>
        <w:rPr>
          <w:rFonts w:ascii="Arial" w:hAnsi="Arial" w:cs="Arial"/>
          <w:b/>
          <w:sz w:val="24"/>
          <w:szCs w:val="24"/>
        </w:rPr>
      </w:pPr>
      <w:r>
        <w:rPr>
          <w:rFonts w:ascii="Arial" w:hAnsi="Arial" w:cs="Arial"/>
          <w:b/>
          <w:sz w:val="24"/>
          <w:szCs w:val="24"/>
        </w:rPr>
        <w:t>About us</w:t>
      </w:r>
    </w:p>
    <w:p w:rsidR="009E6BC7" w:rsidRDefault="009E6BC7" w:rsidP="00244B8A">
      <w:pPr>
        <w:spacing w:after="0"/>
        <w:rPr>
          <w:rFonts w:ascii="Arial" w:hAnsi="Arial" w:cs="Arial"/>
          <w:b/>
          <w:sz w:val="24"/>
          <w:szCs w:val="24"/>
        </w:rPr>
      </w:pPr>
    </w:p>
    <w:p w:rsidR="009E6BC7" w:rsidRDefault="009E6BC7" w:rsidP="00244B8A">
      <w:pPr>
        <w:spacing w:after="0"/>
        <w:rPr>
          <w:rFonts w:ascii="Arial" w:hAnsi="Arial" w:cs="Arial"/>
          <w:sz w:val="24"/>
          <w:szCs w:val="24"/>
        </w:rPr>
      </w:pPr>
      <w:r>
        <w:rPr>
          <w:rFonts w:ascii="Arial" w:hAnsi="Arial" w:cs="Arial"/>
          <w:sz w:val="24"/>
          <w:szCs w:val="24"/>
        </w:rPr>
        <w:t xml:space="preserve">Bedford College Professional Services (BCPS) Ltd provides personnel to support the Bedford College Group operations. </w:t>
      </w:r>
      <w:r w:rsidR="00487ACD">
        <w:rPr>
          <w:rFonts w:ascii="Arial" w:hAnsi="Arial" w:cs="Arial"/>
          <w:sz w:val="24"/>
          <w:szCs w:val="24"/>
        </w:rPr>
        <w:t>The Equality Act 2</w:t>
      </w:r>
      <w:r w:rsidR="000A5F96">
        <w:rPr>
          <w:rFonts w:ascii="Arial" w:hAnsi="Arial" w:cs="Arial"/>
          <w:sz w:val="24"/>
          <w:szCs w:val="24"/>
        </w:rPr>
        <w:t>01</w:t>
      </w:r>
      <w:r w:rsidR="00487ACD">
        <w:rPr>
          <w:rFonts w:ascii="Arial" w:hAnsi="Arial" w:cs="Arial"/>
          <w:sz w:val="24"/>
          <w:szCs w:val="24"/>
        </w:rPr>
        <w:t xml:space="preserve">0 (Gender Pay Gap Information) Regulations 2017 apply to BCPS for the snapshot date of 5 April 2020. </w:t>
      </w:r>
    </w:p>
    <w:p w:rsidR="00487ACD" w:rsidRDefault="00487ACD" w:rsidP="00244B8A">
      <w:pPr>
        <w:spacing w:after="0"/>
        <w:rPr>
          <w:rFonts w:ascii="Arial" w:hAnsi="Arial" w:cs="Arial"/>
          <w:sz w:val="24"/>
          <w:szCs w:val="24"/>
        </w:rPr>
      </w:pPr>
    </w:p>
    <w:p w:rsidR="00487ACD" w:rsidRDefault="00487ACD" w:rsidP="00487ACD">
      <w:pPr>
        <w:spacing w:after="0"/>
        <w:rPr>
          <w:rFonts w:ascii="Arial" w:hAnsi="Arial" w:cs="Arial"/>
          <w:b/>
          <w:sz w:val="24"/>
          <w:szCs w:val="24"/>
        </w:rPr>
      </w:pPr>
      <w:r>
        <w:rPr>
          <w:rFonts w:ascii="Arial" w:hAnsi="Arial" w:cs="Arial"/>
          <w:b/>
          <w:sz w:val="24"/>
          <w:szCs w:val="24"/>
        </w:rPr>
        <w:t>Gender Pay – Bedford College Professional Services Results</w:t>
      </w:r>
    </w:p>
    <w:p w:rsidR="00487ACD" w:rsidRDefault="00487ACD" w:rsidP="00487ACD">
      <w:pPr>
        <w:spacing w:after="0"/>
        <w:rPr>
          <w:rFonts w:ascii="Arial" w:hAnsi="Arial" w:cs="Arial"/>
          <w:sz w:val="24"/>
          <w:szCs w:val="24"/>
        </w:rPr>
      </w:pPr>
      <w:r>
        <w:rPr>
          <w:rFonts w:ascii="Arial" w:hAnsi="Arial" w:cs="Arial"/>
          <w:sz w:val="24"/>
          <w:szCs w:val="24"/>
        </w:rPr>
        <w:t xml:space="preserve"> </w:t>
      </w:r>
    </w:p>
    <w:tbl>
      <w:tblPr>
        <w:tblStyle w:val="TableGrid"/>
        <w:tblW w:w="9639" w:type="dxa"/>
        <w:tblInd w:w="108" w:type="dxa"/>
        <w:tblLook w:val="04A0" w:firstRow="1" w:lastRow="0" w:firstColumn="1" w:lastColumn="0" w:noHBand="0" w:noVBand="1"/>
      </w:tblPr>
      <w:tblGrid>
        <w:gridCol w:w="5103"/>
        <w:gridCol w:w="4536"/>
      </w:tblGrid>
      <w:tr w:rsidR="00487ACD" w:rsidTr="009128A1">
        <w:tc>
          <w:tcPr>
            <w:tcW w:w="5103" w:type="dxa"/>
          </w:tcPr>
          <w:p w:rsidR="00487ACD" w:rsidRDefault="00487ACD" w:rsidP="009128A1">
            <w:pPr>
              <w:rPr>
                <w:rFonts w:ascii="Arial" w:hAnsi="Arial" w:cs="Arial"/>
                <w:sz w:val="24"/>
                <w:szCs w:val="24"/>
              </w:rPr>
            </w:pPr>
            <w:r>
              <w:rPr>
                <w:rFonts w:ascii="Arial" w:hAnsi="Arial" w:cs="Arial"/>
                <w:sz w:val="24"/>
                <w:szCs w:val="24"/>
              </w:rPr>
              <w:t>Calculation</w:t>
            </w:r>
          </w:p>
        </w:tc>
        <w:tc>
          <w:tcPr>
            <w:tcW w:w="4536" w:type="dxa"/>
          </w:tcPr>
          <w:p w:rsidR="00487ACD" w:rsidRDefault="00487ACD" w:rsidP="009128A1">
            <w:pPr>
              <w:rPr>
                <w:rFonts w:ascii="Arial" w:hAnsi="Arial" w:cs="Arial"/>
                <w:sz w:val="24"/>
                <w:szCs w:val="24"/>
              </w:rPr>
            </w:pPr>
            <w:r>
              <w:rPr>
                <w:rFonts w:ascii="Arial" w:hAnsi="Arial" w:cs="Arial"/>
                <w:sz w:val="24"/>
                <w:szCs w:val="24"/>
              </w:rPr>
              <w:t>Result</w:t>
            </w:r>
          </w:p>
        </w:tc>
      </w:tr>
      <w:tr w:rsidR="00487ACD" w:rsidTr="009128A1">
        <w:tc>
          <w:tcPr>
            <w:tcW w:w="5103" w:type="dxa"/>
          </w:tcPr>
          <w:p w:rsidR="00487ACD" w:rsidRDefault="00487ACD" w:rsidP="009128A1">
            <w:pPr>
              <w:rPr>
                <w:rFonts w:ascii="Arial" w:hAnsi="Arial" w:cs="Arial"/>
                <w:sz w:val="24"/>
                <w:szCs w:val="24"/>
              </w:rPr>
            </w:pPr>
            <w:r>
              <w:rPr>
                <w:rFonts w:ascii="Arial" w:hAnsi="Arial" w:cs="Arial"/>
                <w:sz w:val="24"/>
                <w:szCs w:val="24"/>
              </w:rPr>
              <w:t xml:space="preserve">1. Mean gender pay </w:t>
            </w:r>
          </w:p>
        </w:tc>
        <w:tc>
          <w:tcPr>
            <w:tcW w:w="4536" w:type="dxa"/>
          </w:tcPr>
          <w:p w:rsidR="00487ACD" w:rsidRDefault="00487ACD" w:rsidP="009128A1">
            <w:pPr>
              <w:rPr>
                <w:rFonts w:ascii="Arial" w:hAnsi="Arial" w:cs="Arial"/>
                <w:sz w:val="24"/>
                <w:szCs w:val="24"/>
              </w:rPr>
            </w:pPr>
            <w:r>
              <w:rPr>
                <w:rFonts w:ascii="Arial" w:hAnsi="Arial" w:cs="Arial"/>
                <w:sz w:val="24"/>
                <w:szCs w:val="24"/>
              </w:rPr>
              <w:t>-2.8%</w:t>
            </w:r>
          </w:p>
          <w:p w:rsidR="00487ACD" w:rsidRDefault="00487ACD" w:rsidP="009128A1">
            <w:pPr>
              <w:rPr>
                <w:rFonts w:ascii="Arial" w:hAnsi="Arial" w:cs="Arial"/>
                <w:sz w:val="24"/>
                <w:szCs w:val="24"/>
              </w:rPr>
            </w:pPr>
          </w:p>
        </w:tc>
      </w:tr>
      <w:tr w:rsidR="00487ACD" w:rsidTr="009128A1">
        <w:tc>
          <w:tcPr>
            <w:tcW w:w="5103" w:type="dxa"/>
          </w:tcPr>
          <w:p w:rsidR="00487ACD" w:rsidRDefault="00487ACD" w:rsidP="009128A1">
            <w:pPr>
              <w:rPr>
                <w:rFonts w:ascii="Arial" w:hAnsi="Arial" w:cs="Arial"/>
                <w:sz w:val="24"/>
                <w:szCs w:val="24"/>
              </w:rPr>
            </w:pPr>
            <w:r>
              <w:rPr>
                <w:rFonts w:ascii="Arial" w:hAnsi="Arial" w:cs="Arial"/>
                <w:sz w:val="24"/>
                <w:szCs w:val="24"/>
              </w:rPr>
              <w:t xml:space="preserve">2. Median gender pay </w:t>
            </w:r>
          </w:p>
        </w:tc>
        <w:tc>
          <w:tcPr>
            <w:tcW w:w="4536" w:type="dxa"/>
          </w:tcPr>
          <w:p w:rsidR="00487ACD" w:rsidRDefault="00487ACD" w:rsidP="009128A1">
            <w:pPr>
              <w:rPr>
                <w:rFonts w:ascii="Arial" w:hAnsi="Arial" w:cs="Arial"/>
                <w:sz w:val="24"/>
                <w:szCs w:val="24"/>
              </w:rPr>
            </w:pPr>
            <w:r>
              <w:rPr>
                <w:rFonts w:ascii="Arial" w:hAnsi="Arial" w:cs="Arial"/>
                <w:sz w:val="24"/>
                <w:szCs w:val="24"/>
              </w:rPr>
              <w:t>3.3%</w:t>
            </w:r>
          </w:p>
          <w:p w:rsidR="00487ACD" w:rsidRDefault="00487ACD" w:rsidP="009128A1">
            <w:pPr>
              <w:rPr>
                <w:rFonts w:ascii="Arial" w:hAnsi="Arial" w:cs="Arial"/>
                <w:sz w:val="24"/>
                <w:szCs w:val="24"/>
              </w:rPr>
            </w:pPr>
          </w:p>
        </w:tc>
      </w:tr>
      <w:tr w:rsidR="00487ACD" w:rsidTr="009128A1">
        <w:tc>
          <w:tcPr>
            <w:tcW w:w="5103" w:type="dxa"/>
          </w:tcPr>
          <w:p w:rsidR="00487ACD" w:rsidRDefault="00487ACD" w:rsidP="009128A1">
            <w:pPr>
              <w:rPr>
                <w:rFonts w:ascii="Arial" w:hAnsi="Arial" w:cs="Arial"/>
                <w:sz w:val="24"/>
                <w:szCs w:val="24"/>
              </w:rPr>
            </w:pPr>
            <w:r>
              <w:rPr>
                <w:rFonts w:ascii="Arial" w:hAnsi="Arial" w:cs="Arial"/>
                <w:sz w:val="24"/>
                <w:szCs w:val="24"/>
              </w:rPr>
              <w:t xml:space="preserve">3. Mean bonus gender pay </w:t>
            </w:r>
          </w:p>
        </w:tc>
        <w:tc>
          <w:tcPr>
            <w:tcW w:w="4536" w:type="dxa"/>
          </w:tcPr>
          <w:p w:rsidR="00487ACD" w:rsidRDefault="00487ACD" w:rsidP="009128A1">
            <w:pPr>
              <w:rPr>
                <w:rFonts w:ascii="Arial" w:hAnsi="Arial" w:cs="Arial"/>
                <w:sz w:val="24"/>
                <w:szCs w:val="24"/>
              </w:rPr>
            </w:pPr>
            <w:r>
              <w:rPr>
                <w:rFonts w:ascii="Arial" w:hAnsi="Arial" w:cs="Arial"/>
                <w:sz w:val="24"/>
                <w:szCs w:val="24"/>
              </w:rPr>
              <w:t>-44.8%</w:t>
            </w:r>
          </w:p>
          <w:p w:rsidR="00487ACD" w:rsidRDefault="00487ACD" w:rsidP="009128A1">
            <w:pPr>
              <w:rPr>
                <w:rFonts w:ascii="Arial" w:hAnsi="Arial" w:cs="Arial"/>
                <w:sz w:val="24"/>
                <w:szCs w:val="24"/>
              </w:rPr>
            </w:pPr>
          </w:p>
        </w:tc>
      </w:tr>
      <w:tr w:rsidR="00487ACD" w:rsidTr="009128A1">
        <w:tc>
          <w:tcPr>
            <w:tcW w:w="5103" w:type="dxa"/>
          </w:tcPr>
          <w:p w:rsidR="00487ACD" w:rsidRDefault="00487ACD" w:rsidP="009128A1">
            <w:pPr>
              <w:rPr>
                <w:rFonts w:ascii="Arial" w:hAnsi="Arial" w:cs="Arial"/>
                <w:sz w:val="24"/>
                <w:szCs w:val="24"/>
              </w:rPr>
            </w:pPr>
            <w:r>
              <w:rPr>
                <w:rFonts w:ascii="Arial" w:hAnsi="Arial" w:cs="Arial"/>
                <w:sz w:val="24"/>
                <w:szCs w:val="24"/>
              </w:rPr>
              <w:t xml:space="preserve">4. Median bonus  gender pay </w:t>
            </w:r>
          </w:p>
        </w:tc>
        <w:tc>
          <w:tcPr>
            <w:tcW w:w="4536" w:type="dxa"/>
          </w:tcPr>
          <w:p w:rsidR="00487ACD" w:rsidRDefault="00487ACD" w:rsidP="009128A1">
            <w:pPr>
              <w:rPr>
                <w:rFonts w:ascii="Arial" w:hAnsi="Arial" w:cs="Arial"/>
                <w:sz w:val="24"/>
                <w:szCs w:val="24"/>
              </w:rPr>
            </w:pPr>
            <w:r>
              <w:rPr>
                <w:rFonts w:ascii="Arial" w:hAnsi="Arial" w:cs="Arial"/>
                <w:sz w:val="24"/>
                <w:szCs w:val="24"/>
              </w:rPr>
              <w:t>0%</w:t>
            </w:r>
          </w:p>
          <w:p w:rsidR="00487ACD" w:rsidRDefault="00487ACD" w:rsidP="009128A1">
            <w:pPr>
              <w:rPr>
                <w:rFonts w:ascii="Arial" w:hAnsi="Arial" w:cs="Arial"/>
                <w:sz w:val="24"/>
                <w:szCs w:val="24"/>
              </w:rPr>
            </w:pPr>
          </w:p>
        </w:tc>
      </w:tr>
      <w:tr w:rsidR="00487ACD" w:rsidTr="009128A1">
        <w:tc>
          <w:tcPr>
            <w:tcW w:w="5103" w:type="dxa"/>
          </w:tcPr>
          <w:p w:rsidR="00487ACD" w:rsidRDefault="00487ACD" w:rsidP="009128A1">
            <w:pPr>
              <w:rPr>
                <w:rFonts w:ascii="Arial" w:hAnsi="Arial" w:cs="Arial"/>
                <w:sz w:val="24"/>
                <w:szCs w:val="24"/>
              </w:rPr>
            </w:pPr>
            <w:r>
              <w:rPr>
                <w:rFonts w:ascii="Arial" w:hAnsi="Arial" w:cs="Arial"/>
                <w:sz w:val="24"/>
                <w:szCs w:val="24"/>
              </w:rPr>
              <w:t>5. Proportion of males and females receiving a bonus payment</w:t>
            </w:r>
          </w:p>
        </w:tc>
        <w:tc>
          <w:tcPr>
            <w:tcW w:w="4536" w:type="dxa"/>
          </w:tcPr>
          <w:p w:rsidR="00487ACD" w:rsidRDefault="00487ACD" w:rsidP="009128A1">
            <w:pPr>
              <w:rPr>
                <w:rFonts w:ascii="Arial" w:hAnsi="Arial" w:cs="Arial"/>
                <w:sz w:val="24"/>
                <w:szCs w:val="24"/>
              </w:rPr>
            </w:pPr>
            <w:r>
              <w:rPr>
                <w:rFonts w:ascii="Arial" w:hAnsi="Arial" w:cs="Arial"/>
                <w:sz w:val="24"/>
                <w:szCs w:val="24"/>
              </w:rPr>
              <w:t>18.3% (male)</w:t>
            </w:r>
          </w:p>
          <w:p w:rsidR="00487ACD" w:rsidRDefault="00487ACD" w:rsidP="009128A1">
            <w:pPr>
              <w:rPr>
                <w:rFonts w:ascii="Arial" w:hAnsi="Arial" w:cs="Arial"/>
                <w:sz w:val="24"/>
                <w:szCs w:val="24"/>
              </w:rPr>
            </w:pPr>
            <w:r>
              <w:rPr>
                <w:rFonts w:ascii="Arial" w:hAnsi="Arial" w:cs="Arial"/>
                <w:sz w:val="24"/>
                <w:szCs w:val="24"/>
              </w:rPr>
              <w:t>19.8% (female)</w:t>
            </w:r>
          </w:p>
        </w:tc>
      </w:tr>
    </w:tbl>
    <w:p w:rsidR="00487ACD" w:rsidRDefault="00487ACD" w:rsidP="00487ACD">
      <w:pPr>
        <w:spacing w:after="0" w:line="240" w:lineRule="auto"/>
        <w:rPr>
          <w:rFonts w:ascii="Arial" w:hAnsi="Arial" w:cs="Arial"/>
          <w:sz w:val="24"/>
          <w:szCs w:val="24"/>
        </w:rPr>
      </w:pPr>
    </w:p>
    <w:p w:rsidR="001A0623" w:rsidRDefault="001A0623" w:rsidP="00487ACD">
      <w:pPr>
        <w:spacing w:after="0" w:line="240" w:lineRule="auto"/>
        <w:rPr>
          <w:rFonts w:ascii="Arial" w:hAnsi="Arial" w:cs="Arial"/>
          <w:sz w:val="24"/>
          <w:szCs w:val="24"/>
        </w:rPr>
      </w:pPr>
    </w:p>
    <w:p w:rsidR="001A0623" w:rsidRDefault="001A0623" w:rsidP="00487ACD">
      <w:pPr>
        <w:spacing w:after="0" w:line="240" w:lineRule="auto"/>
        <w:rPr>
          <w:rFonts w:ascii="Arial" w:hAnsi="Arial" w:cs="Arial"/>
          <w:sz w:val="24"/>
          <w:szCs w:val="24"/>
        </w:rPr>
      </w:pPr>
    </w:p>
    <w:p w:rsidR="001A0623" w:rsidRDefault="001A0623" w:rsidP="00487ACD">
      <w:pPr>
        <w:spacing w:after="0" w:line="240" w:lineRule="auto"/>
        <w:rPr>
          <w:rFonts w:ascii="Arial" w:hAnsi="Arial" w:cs="Arial"/>
          <w:sz w:val="24"/>
          <w:szCs w:val="24"/>
        </w:rPr>
      </w:pPr>
    </w:p>
    <w:p w:rsidR="001A0623" w:rsidRDefault="001A0623" w:rsidP="00487ACD">
      <w:pPr>
        <w:spacing w:after="0" w:line="240" w:lineRule="auto"/>
        <w:rPr>
          <w:rFonts w:ascii="Arial" w:hAnsi="Arial" w:cs="Arial"/>
          <w:sz w:val="24"/>
          <w:szCs w:val="24"/>
        </w:rPr>
      </w:pPr>
    </w:p>
    <w:p w:rsidR="001A0623" w:rsidRDefault="001A0623" w:rsidP="00487ACD">
      <w:pPr>
        <w:spacing w:after="0" w:line="240" w:lineRule="auto"/>
        <w:rPr>
          <w:rFonts w:ascii="Arial" w:hAnsi="Arial" w:cs="Arial"/>
          <w:sz w:val="24"/>
          <w:szCs w:val="24"/>
        </w:rPr>
      </w:pPr>
    </w:p>
    <w:p w:rsidR="001A0623" w:rsidRDefault="001A0623" w:rsidP="00487ACD">
      <w:pPr>
        <w:spacing w:after="0" w:line="240" w:lineRule="auto"/>
        <w:rPr>
          <w:rFonts w:ascii="Arial" w:hAnsi="Arial" w:cs="Arial"/>
          <w:sz w:val="24"/>
          <w:szCs w:val="24"/>
        </w:rPr>
      </w:pPr>
    </w:p>
    <w:p w:rsidR="001A0623" w:rsidRDefault="001A0623" w:rsidP="00487ACD">
      <w:pPr>
        <w:spacing w:after="0" w:line="240" w:lineRule="auto"/>
        <w:rPr>
          <w:rFonts w:ascii="Arial" w:hAnsi="Arial" w:cs="Arial"/>
          <w:sz w:val="24"/>
          <w:szCs w:val="24"/>
        </w:rPr>
      </w:pPr>
    </w:p>
    <w:p w:rsidR="001A0623" w:rsidRDefault="001A0623" w:rsidP="00487ACD">
      <w:pPr>
        <w:spacing w:after="0" w:line="240" w:lineRule="auto"/>
        <w:rPr>
          <w:rFonts w:ascii="Arial" w:hAnsi="Arial" w:cs="Arial"/>
          <w:sz w:val="24"/>
          <w:szCs w:val="24"/>
        </w:rPr>
      </w:pPr>
    </w:p>
    <w:p w:rsidR="001A0623" w:rsidRDefault="001A0623" w:rsidP="00487ACD">
      <w:pPr>
        <w:spacing w:after="0" w:line="240" w:lineRule="auto"/>
        <w:rPr>
          <w:rFonts w:ascii="Arial" w:hAnsi="Arial" w:cs="Arial"/>
          <w:sz w:val="24"/>
          <w:szCs w:val="24"/>
        </w:rPr>
      </w:pPr>
    </w:p>
    <w:p w:rsidR="00487ACD" w:rsidRDefault="00487ACD" w:rsidP="00487ACD">
      <w:pPr>
        <w:spacing w:after="0" w:line="240" w:lineRule="auto"/>
        <w:rPr>
          <w:rFonts w:ascii="Arial" w:hAnsi="Arial" w:cs="Arial"/>
          <w:sz w:val="24"/>
          <w:szCs w:val="24"/>
        </w:rPr>
      </w:pPr>
      <w:r>
        <w:rPr>
          <w:rFonts w:ascii="Arial" w:hAnsi="Arial" w:cs="Arial"/>
          <w:sz w:val="24"/>
          <w:szCs w:val="24"/>
        </w:rPr>
        <w:t>The graph below shows the proportion of males and females in each quartile pay band:</w:t>
      </w:r>
    </w:p>
    <w:p w:rsidR="00487ACD" w:rsidRDefault="00487ACD" w:rsidP="00487ACD">
      <w:pPr>
        <w:spacing w:after="0" w:line="240" w:lineRule="auto"/>
        <w:rPr>
          <w:rFonts w:ascii="Arial" w:hAnsi="Arial" w:cs="Arial"/>
          <w:sz w:val="24"/>
          <w:szCs w:val="24"/>
        </w:rPr>
      </w:pPr>
    </w:p>
    <w:p w:rsidR="00487ACD" w:rsidRDefault="00487ACD" w:rsidP="00487ACD">
      <w:pPr>
        <w:spacing w:after="0" w:line="240" w:lineRule="auto"/>
        <w:rPr>
          <w:rFonts w:ascii="Arial" w:hAnsi="Arial" w:cs="Arial"/>
          <w:sz w:val="24"/>
          <w:szCs w:val="24"/>
        </w:rPr>
      </w:pPr>
      <w:r>
        <w:rPr>
          <w:noProof/>
          <w:lang w:eastAsia="en-GB"/>
        </w:rPr>
        <w:drawing>
          <wp:inline distT="0" distB="0" distL="0" distR="0" wp14:anchorId="7BBAC784" wp14:editId="1CFF85D2">
            <wp:extent cx="5731510" cy="3739515"/>
            <wp:effectExtent l="0" t="0" r="2540" b="133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87ACD" w:rsidRDefault="00487ACD" w:rsidP="00487ACD">
      <w:pPr>
        <w:spacing w:after="0" w:line="240" w:lineRule="auto"/>
        <w:rPr>
          <w:rFonts w:ascii="Arial" w:hAnsi="Arial" w:cs="Arial"/>
          <w:sz w:val="24"/>
          <w:szCs w:val="24"/>
        </w:rPr>
      </w:pPr>
    </w:p>
    <w:p w:rsidR="000A5F96" w:rsidRDefault="000A5F96" w:rsidP="000A5F96">
      <w:pPr>
        <w:spacing w:after="0" w:line="240" w:lineRule="auto"/>
        <w:rPr>
          <w:rFonts w:ascii="Arial" w:hAnsi="Arial" w:cs="Arial"/>
          <w:sz w:val="24"/>
          <w:szCs w:val="24"/>
        </w:rPr>
      </w:pPr>
      <w:r>
        <w:rPr>
          <w:rFonts w:ascii="Arial" w:hAnsi="Arial" w:cs="Arial"/>
          <w:sz w:val="24"/>
          <w:szCs w:val="24"/>
        </w:rPr>
        <w:t>The data above has been calculated using the methodology set out in Equality Act 2010 (Gender Pay Gap Information) Regulations 2017.</w:t>
      </w:r>
    </w:p>
    <w:p w:rsidR="00E54DDE" w:rsidRDefault="00E54DDE" w:rsidP="000A5F96">
      <w:pPr>
        <w:spacing w:after="0" w:line="240" w:lineRule="auto"/>
        <w:rPr>
          <w:rFonts w:ascii="Arial" w:hAnsi="Arial" w:cs="Arial"/>
          <w:sz w:val="24"/>
          <w:szCs w:val="24"/>
        </w:rPr>
      </w:pPr>
    </w:p>
    <w:p w:rsidR="00997CF9" w:rsidRDefault="00997CF9" w:rsidP="00244B8A">
      <w:pPr>
        <w:spacing w:after="0"/>
        <w:rPr>
          <w:rFonts w:ascii="Arial" w:hAnsi="Arial" w:cs="Arial"/>
          <w:b/>
          <w:sz w:val="24"/>
          <w:szCs w:val="24"/>
        </w:rPr>
      </w:pPr>
      <w:r>
        <w:rPr>
          <w:rFonts w:ascii="Arial" w:hAnsi="Arial" w:cs="Arial"/>
          <w:b/>
          <w:sz w:val="24"/>
          <w:szCs w:val="24"/>
        </w:rPr>
        <w:t xml:space="preserve">Findings </w:t>
      </w:r>
    </w:p>
    <w:p w:rsidR="00E54DDE" w:rsidRDefault="00E54DDE" w:rsidP="00244B8A">
      <w:pPr>
        <w:spacing w:after="0"/>
        <w:rPr>
          <w:rFonts w:ascii="Arial" w:hAnsi="Arial" w:cs="Arial"/>
          <w:b/>
          <w:sz w:val="24"/>
          <w:szCs w:val="24"/>
        </w:rPr>
      </w:pPr>
    </w:p>
    <w:p w:rsidR="00E54DDE" w:rsidRPr="00E54DDE" w:rsidRDefault="00E54DDE" w:rsidP="00E54DDE">
      <w:pPr>
        <w:spacing w:after="0"/>
        <w:rPr>
          <w:rFonts w:ascii="Arial" w:hAnsi="Arial" w:cs="Arial"/>
          <w:sz w:val="24"/>
          <w:szCs w:val="24"/>
        </w:rPr>
      </w:pPr>
      <w:r w:rsidRPr="00E54DDE">
        <w:rPr>
          <w:rFonts w:ascii="Arial" w:hAnsi="Arial" w:cs="Arial"/>
          <w:sz w:val="24"/>
          <w:szCs w:val="24"/>
        </w:rPr>
        <w:t xml:space="preserve">On the snapshot date there were 377 relevant employees, of which 32% identified as male and 68% identified as female. </w:t>
      </w:r>
    </w:p>
    <w:p w:rsidR="007638EC" w:rsidRDefault="00E54DDE" w:rsidP="007638EC">
      <w:pPr>
        <w:spacing w:before="240" w:after="0"/>
        <w:rPr>
          <w:rFonts w:ascii="Arial" w:hAnsi="Arial" w:cs="Arial"/>
          <w:sz w:val="24"/>
          <w:szCs w:val="24"/>
          <w:shd w:val="clear" w:color="auto" w:fill="FFFFFF"/>
        </w:rPr>
      </w:pPr>
      <w:r w:rsidRPr="00E54DDE">
        <w:rPr>
          <w:rFonts w:ascii="Arial" w:hAnsi="Arial" w:cs="Arial"/>
          <w:sz w:val="24"/>
          <w:szCs w:val="24"/>
        </w:rPr>
        <w:t xml:space="preserve">The mean gender </w:t>
      </w:r>
      <w:r>
        <w:rPr>
          <w:rFonts w:ascii="Arial" w:hAnsi="Arial" w:cs="Arial"/>
          <w:sz w:val="24"/>
          <w:szCs w:val="24"/>
        </w:rPr>
        <w:t xml:space="preserve">pay </w:t>
      </w:r>
      <w:r w:rsidRPr="00E54DDE">
        <w:rPr>
          <w:rFonts w:ascii="Arial" w:hAnsi="Arial" w:cs="Arial"/>
          <w:sz w:val="24"/>
          <w:szCs w:val="24"/>
        </w:rPr>
        <w:t>gap</w:t>
      </w:r>
      <w:r>
        <w:rPr>
          <w:rFonts w:ascii="Arial" w:hAnsi="Arial" w:cs="Arial"/>
          <w:sz w:val="24"/>
          <w:szCs w:val="24"/>
        </w:rPr>
        <w:t xml:space="preserve"> shows that women earn on average 2.8% more than men, which compares to last year where the mean gender pay gap showed that men earned on average 1.4% more than women. </w:t>
      </w:r>
      <w:r w:rsidR="007638EC">
        <w:rPr>
          <w:rFonts w:ascii="Arial" w:hAnsi="Arial" w:cs="Arial"/>
          <w:sz w:val="24"/>
          <w:szCs w:val="24"/>
        </w:rPr>
        <w:t>The median gender pay gap at 3.3% has not changed significantly from last year where the result was 3.1%</w:t>
      </w:r>
      <w:r w:rsidRPr="00E54DDE">
        <w:rPr>
          <w:rFonts w:ascii="Arial" w:hAnsi="Arial" w:cs="Arial"/>
          <w:sz w:val="24"/>
          <w:szCs w:val="24"/>
        </w:rPr>
        <w:t>.</w:t>
      </w:r>
      <w:r w:rsidR="007638EC">
        <w:rPr>
          <w:rFonts w:ascii="Arial" w:hAnsi="Arial" w:cs="Arial"/>
          <w:sz w:val="24"/>
          <w:szCs w:val="24"/>
        </w:rPr>
        <w:t xml:space="preserve"> Comparing the results against the </w:t>
      </w:r>
      <w:r w:rsidRPr="00E54DDE">
        <w:rPr>
          <w:rFonts w:ascii="Arial" w:hAnsi="Arial" w:cs="Arial"/>
          <w:sz w:val="24"/>
          <w:szCs w:val="24"/>
          <w:shd w:val="clear" w:color="auto" w:fill="FFFFFF"/>
        </w:rPr>
        <w:t>Office of National Statistics (ONS) 2020 figures for</w:t>
      </w:r>
      <w:r w:rsidR="007638EC">
        <w:rPr>
          <w:rFonts w:ascii="Arial" w:hAnsi="Arial" w:cs="Arial"/>
          <w:sz w:val="24"/>
          <w:szCs w:val="24"/>
          <w:shd w:val="clear" w:color="auto" w:fill="FFFFFF"/>
        </w:rPr>
        <w:t xml:space="preserve"> all employees </w:t>
      </w:r>
      <w:r w:rsidRPr="00E54DDE">
        <w:rPr>
          <w:rFonts w:ascii="Arial" w:hAnsi="Arial" w:cs="Arial"/>
          <w:sz w:val="24"/>
          <w:szCs w:val="24"/>
          <w:shd w:val="clear" w:color="auto" w:fill="FFFFFF"/>
        </w:rPr>
        <w:t xml:space="preserve">which reported the average mean at </w:t>
      </w:r>
      <w:r w:rsidR="007638EC">
        <w:rPr>
          <w:rFonts w:ascii="Arial" w:hAnsi="Arial" w:cs="Arial"/>
          <w:sz w:val="24"/>
          <w:szCs w:val="24"/>
          <w:shd w:val="clear" w:color="auto" w:fill="FFFFFF"/>
        </w:rPr>
        <w:t xml:space="preserve">14.6% and </w:t>
      </w:r>
      <w:r w:rsidRPr="00E54DDE">
        <w:rPr>
          <w:rFonts w:ascii="Arial" w:hAnsi="Arial" w:cs="Arial"/>
          <w:sz w:val="24"/>
          <w:szCs w:val="24"/>
          <w:shd w:val="clear" w:color="auto" w:fill="FFFFFF"/>
        </w:rPr>
        <w:t xml:space="preserve">the average median at </w:t>
      </w:r>
      <w:r w:rsidR="007638EC">
        <w:rPr>
          <w:rFonts w:ascii="Arial" w:hAnsi="Arial" w:cs="Arial"/>
          <w:sz w:val="24"/>
          <w:szCs w:val="24"/>
          <w:shd w:val="clear" w:color="auto" w:fill="FFFFFF"/>
        </w:rPr>
        <w:t>15.5</w:t>
      </w:r>
      <w:r w:rsidRPr="00E54DDE">
        <w:rPr>
          <w:rFonts w:ascii="Arial" w:hAnsi="Arial" w:cs="Arial"/>
          <w:sz w:val="24"/>
          <w:szCs w:val="24"/>
          <w:shd w:val="clear" w:color="auto" w:fill="FFFFFF"/>
        </w:rPr>
        <w:t>%.</w:t>
      </w:r>
    </w:p>
    <w:p w:rsidR="007638EC" w:rsidRPr="007902A2" w:rsidRDefault="007638EC" w:rsidP="007638EC">
      <w:pPr>
        <w:spacing w:before="240" w:after="0"/>
        <w:rPr>
          <w:rFonts w:ascii="Arial" w:eastAsia="Times New Roman" w:hAnsi="Arial" w:cs="Arial"/>
          <w:sz w:val="24"/>
          <w:szCs w:val="24"/>
          <w:lang w:eastAsia="en-GB"/>
        </w:rPr>
      </w:pPr>
      <w:r w:rsidRPr="007902A2">
        <w:rPr>
          <w:rFonts w:ascii="Arial" w:eastAsia="Times New Roman" w:hAnsi="Arial" w:cs="Arial"/>
          <w:sz w:val="24"/>
          <w:szCs w:val="24"/>
          <w:lang w:eastAsia="en-GB"/>
        </w:rPr>
        <w:t xml:space="preserve">As can be seen from the </w:t>
      </w:r>
      <w:r>
        <w:rPr>
          <w:rFonts w:ascii="Arial" w:eastAsia="Times New Roman" w:hAnsi="Arial" w:cs="Arial"/>
          <w:sz w:val="24"/>
          <w:szCs w:val="24"/>
          <w:lang w:eastAsia="en-GB"/>
        </w:rPr>
        <w:t>results</w:t>
      </w:r>
      <w:r w:rsidRPr="007902A2">
        <w:rPr>
          <w:rFonts w:ascii="Arial" w:eastAsia="Times New Roman" w:hAnsi="Arial" w:cs="Arial"/>
          <w:sz w:val="24"/>
          <w:szCs w:val="24"/>
          <w:lang w:eastAsia="en-GB"/>
        </w:rPr>
        <w:t xml:space="preserve">, </w:t>
      </w:r>
      <w:r>
        <w:rPr>
          <w:rFonts w:ascii="Arial" w:eastAsia="Times New Roman" w:hAnsi="Arial" w:cs="Arial"/>
          <w:sz w:val="24"/>
          <w:szCs w:val="24"/>
          <w:lang w:eastAsia="en-GB"/>
        </w:rPr>
        <w:t>women received 44.8% higher rate of bonus to men. A</w:t>
      </w:r>
      <w:r w:rsidRPr="007902A2">
        <w:rPr>
          <w:rFonts w:ascii="Arial" w:eastAsia="Times New Roman" w:hAnsi="Arial" w:cs="Arial"/>
          <w:sz w:val="24"/>
          <w:szCs w:val="24"/>
          <w:lang w:eastAsia="en-GB"/>
        </w:rPr>
        <w:t>dditionally, the median illustrates that the mid-point received for each grade showed an equal rate.</w:t>
      </w:r>
    </w:p>
    <w:p w:rsidR="001A0623" w:rsidRDefault="001A0623" w:rsidP="007638EC">
      <w:pPr>
        <w:spacing w:before="240" w:after="0"/>
        <w:rPr>
          <w:rFonts w:ascii="Arial" w:hAnsi="Arial" w:cs="Arial"/>
          <w:b/>
          <w:sz w:val="24"/>
          <w:szCs w:val="24"/>
          <w:shd w:val="clear" w:color="auto" w:fill="FFFFFF"/>
        </w:rPr>
      </w:pPr>
    </w:p>
    <w:p w:rsidR="001A0623" w:rsidRDefault="001A0623" w:rsidP="007638EC">
      <w:pPr>
        <w:spacing w:before="240" w:after="0"/>
        <w:rPr>
          <w:rFonts w:ascii="Arial" w:hAnsi="Arial" w:cs="Arial"/>
          <w:b/>
          <w:sz w:val="24"/>
          <w:szCs w:val="24"/>
          <w:shd w:val="clear" w:color="auto" w:fill="FFFFFF"/>
        </w:rPr>
      </w:pPr>
    </w:p>
    <w:p w:rsidR="007638EC" w:rsidRDefault="007638EC" w:rsidP="007638EC">
      <w:pPr>
        <w:spacing w:before="240" w:after="0"/>
        <w:rPr>
          <w:rFonts w:ascii="Arial" w:hAnsi="Arial" w:cs="Arial"/>
          <w:b/>
          <w:sz w:val="24"/>
          <w:szCs w:val="24"/>
          <w:shd w:val="clear" w:color="auto" w:fill="FFFFFF"/>
        </w:rPr>
      </w:pPr>
      <w:r>
        <w:rPr>
          <w:rFonts w:ascii="Arial" w:hAnsi="Arial" w:cs="Arial"/>
          <w:b/>
          <w:sz w:val="24"/>
          <w:szCs w:val="24"/>
          <w:shd w:val="clear" w:color="auto" w:fill="FFFFFF"/>
        </w:rPr>
        <w:t xml:space="preserve">Statement for </w:t>
      </w:r>
      <w:r w:rsidR="00150012">
        <w:rPr>
          <w:rFonts w:ascii="Arial" w:hAnsi="Arial" w:cs="Arial"/>
          <w:b/>
          <w:sz w:val="24"/>
          <w:szCs w:val="24"/>
          <w:shd w:val="clear" w:color="auto" w:fill="FFFFFF"/>
        </w:rPr>
        <w:t>the</w:t>
      </w:r>
      <w:r>
        <w:rPr>
          <w:rFonts w:ascii="Arial" w:hAnsi="Arial" w:cs="Arial"/>
          <w:b/>
          <w:sz w:val="24"/>
          <w:szCs w:val="24"/>
          <w:shd w:val="clear" w:color="auto" w:fill="FFFFFF"/>
        </w:rPr>
        <w:t xml:space="preserve"> Bedford College Group</w:t>
      </w:r>
    </w:p>
    <w:p w:rsidR="007638EC" w:rsidRDefault="005E71C0" w:rsidP="007638EC">
      <w:pPr>
        <w:spacing w:before="240" w:after="0"/>
        <w:rPr>
          <w:rFonts w:ascii="Arial" w:hAnsi="Arial" w:cs="Arial"/>
          <w:sz w:val="24"/>
          <w:szCs w:val="24"/>
        </w:rPr>
      </w:pPr>
      <w:r>
        <w:rPr>
          <w:rFonts w:ascii="Arial" w:hAnsi="Arial" w:cs="Arial"/>
          <w:sz w:val="24"/>
          <w:szCs w:val="24"/>
        </w:rPr>
        <w:t xml:space="preserve">The Bedford College Group is fully committed to equality and diversity and employs people according to the requirements of the role, not according to gender and in 2019-20, 65% of successful candidates identified as female.  </w:t>
      </w:r>
      <w:r w:rsidR="007638EC">
        <w:rPr>
          <w:rFonts w:ascii="Arial" w:hAnsi="Arial" w:cs="Arial"/>
          <w:sz w:val="24"/>
          <w:szCs w:val="24"/>
        </w:rPr>
        <w:t xml:space="preserve">The overall gender split at The Bedford </w:t>
      </w:r>
      <w:r w:rsidR="007638EC" w:rsidRPr="00D759A4">
        <w:rPr>
          <w:rFonts w:ascii="Arial" w:hAnsi="Arial" w:cs="Arial"/>
          <w:sz w:val="24"/>
          <w:szCs w:val="24"/>
        </w:rPr>
        <w:t>College Group is 38% males and 62% females, which mirrors the national picture of the FE workforce (SIR 2018-2019 National figures for FE Colleges)</w:t>
      </w:r>
      <w:r w:rsidR="007638EC">
        <w:rPr>
          <w:rFonts w:ascii="Arial" w:hAnsi="Arial" w:cs="Arial"/>
          <w:sz w:val="24"/>
          <w:szCs w:val="24"/>
        </w:rPr>
        <w:t>.</w:t>
      </w:r>
    </w:p>
    <w:p w:rsidR="00150012" w:rsidRDefault="005D2A84" w:rsidP="00A91342">
      <w:pPr>
        <w:spacing w:before="240" w:after="0"/>
        <w:rPr>
          <w:rFonts w:ascii="Arial" w:hAnsi="Arial" w:cs="Arial"/>
          <w:sz w:val="24"/>
          <w:szCs w:val="24"/>
        </w:rPr>
      </w:pPr>
      <w:r w:rsidRPr="001A0623">
        <w:rPr>
          <w:rFonts w:ascii="Arial" w:hAnsi="Arial" w:cs="Arial"/>
          <w:sz w:val="24"/>
          <w:szCs w:val="24"/>
        </w:rPr>
        <w:t>We support flexible and part time working with just over a third of our organisation w</w:t>
      </w:r>
      <w:r w:rsidR="00150012" w:rsidRPr="001A0623">
        <w:rPr>
          <w:rFonts w:ascii="Arial" w:hAnsi="Arial" w:cs="Arial"/>
          <w:sz w:val="24"/>
          <w:szCs w:val="24"/>
        </w:rPr>
        <w:t xml:space="preserve">orking on a part time basis. </w:t>
      </w:r>
      <w:r w:rsidRPr="001A0623">
        <w:rPr>
          <w:rFonts w:ascii="Arial" w:hAnsi="Arial" w:cs="Arial"/>
          <w:sz w:val="24"/>
          <w:szCs w:val="24"/>
        </w:rPr>
        <w:t>Senior Management is made up of 66.6% female and 33.3% male employees and the Executive Team is nearly 90% female</w:t>
      </w:r>
      <w:r w:rsidR="00E71705" w:rsidRPr="001A0623">
        <w:rPr>
          <w:rFonts w:ascii="Arial" w:hAnsi="Arial" w:cs="Arial"/>
          <w:sz w:val="24"/>
          <w:szCs w:val="24"/>
        </w:rPr>
        <w:t xml:space="preserve">. </w:t>
      </w:r>
      <w:r w:rsidR="001A0623" w:rsidRPr="001A0623">
        <w:rPr>
          <w:rFonts w:ascii="Arial" w:hAnsi="Arial" w:cs="Arial"/>
          <w:sz w:val="24"/>
          <w:szCs w:val="24"/>
        </w:rPr>
        <w:t>As a result of the global pandemic, w</w:t>
      </w:r>
      <w:r w:rsidR="00150012" w:rsidRPr="001A0623">
        <w:rPr>
          <w:rFonts w:ascii="Arial" w:hAnsi="Arial" w:cs="Arial"/>
          <w:sz w:val="24"/>
          <w:szCs w:val="24"/>
        </w:rPr>
        <w:t xml:space="preserve">e have introduced a </w:t>
      </w:r>
      <w:r w:rsidR="00E71705" w:rsidRPr="001A0623">
        <w:rPr>
          <w:rFonts w:ascii="Arial" w:hAnsi="Arial" w:cs="Arial"/>
          <w:sz w:val="24"/>
          <w:szCs w:val="24"/>
        </w:rPr>
        <w:t xml:space="preserve">Working </w:t>
      </w:r>
      <w:r w:rsidR="001A0623" w:rsidRPr="001A0623">
        <w:rPr>
          <w:rFonts w:ascii="Arial" w:hAnsi="Arial" w:cs="Arial"/>
          <w:sz w:val="24"/>
          <w:szCs w:val="24"/>
        </w:rPr>
        <w:t>F</w:t>
      </w:r>
      <w:r w:rsidR="00150012" w:rsidRPr="001A0623">
        <w:rPr>
          <w:rFonts w:ascii="Arial" w:hAnsi="Arial" w:cs="Arial"/>
          <w:sz w:val="24"/>
          <w:szCs w:val="24"/>
        </w:rPr>
        <w:t>rom</w:t>
      </w:r>
      <w:r w:rsidR="00E71705" w:rsidRPr="001A0623">
        <w:rPr>
          <w:rFonts w:ascii="Arial" w:hAnsi="Arial" w:cs="Arial"/>
          <w:sz w:val="24"/>
          <w:szCs w:val="24"/>
        </w:rPr>
        <w:t xml:space="preserve"> Home policy </w:t>
      </w:r>
      <w:r w:rsidR="00150012" w:rsidRPr="001A0623">
        <w:rPr>
          <w:rFonts w:ascii="Arial" w:hAnsi="Arial" w:cs="Arial"/>
          <w:sz w:val="24"/>
          <w:szCs w:val="24"/>
        </w:rPr>
        <w:t xml:space="preserve">to provide guidance on how </w:t>
      </w:r>
      <w:r w:rsidR="00FC3337">
        <w:rPr>
          <w:rFonts w:ascii="Arial" w:hAnsi="Arial" w:cs="Arial"/>
          <w:sz w:val="24"/>
          <w:szCs w:val="24"/>
        </w:rPr>
        <w:t xml:space="preserve">agile working </w:t>
      </w:r>
      <w:r w:rsidR="00150012" w:rsidRPr="001A0623">
        <w:rPr>
          <w:rFonts w:ascii="Arial" w:hAnsi="Arial" w:cs="Arial"/>
          <w:sz w:val="24"/>
          <w:szCs w:val="24"/>
        </w:rPr>
        <w:t xml:space="preserve">operates within the Group on an ad hoc basis to enable flexibility to work patterns and a positive work life balance. </w:t>
      </w:r>
      <w:r w:rsidR="001A0623" w:rsidRPr="001A0623">
        <w:rPr>
          <w:rFonts w:ascii="Arial" w:hAnsi="Arial" w:cs="Arial"/>
          <w:sz w:val="24"/>
          <w:szCs w:val="24"/>
        </w:rPr>
        <w:t xml:space="preserve">As we return to the workplace, we recognise </w:t>
      </w:r>
      <w:r w:rsidR="00150012" w:rsidRPr="001A0623">
        <w:rPr>
          <w:rFonts w:ascii="Arial" w:hAnsi="Arial" w:cs="Arial"/>
          <w:sz w:val="24"/>
          <w:szCs w:val="24"/>
        </w:rPr>
        <w:t>the continuing positive benefits of maintaining some distancing within offices and the work life balance remote working offers, and as such managers will be supported by the Working From Home Policy to enable a mix of campus and remote working to support safe working and enhance flexibility for the workforce.</w:t>
      </w:r>
    </w:p>
    <w:p w:rsidR="001A0623" w:rsidRDefault="001A0623" w:rsidP="001A0623">
      <w:pPr>
        <w:spacing w:after="0"/>
        <w:rPr>
          <w:rFonts w:ascii="Arial" w:hAnsi="Arial" w:cs="Arial"/>
          <w:sz w:val="24"/>
          <w:szCs w:val="24"/>
        </w:rPr>
      </w:pPr>
    </w:p>
    <w:p w:rsidR="001A0623" w:rsidRDefault="001A0623" w:rsidP="001A0623">
      <w:pPr>
        <w:spacing w:after="0"/>
        <w:rPr>
          <w:rFonts w:ascii="Arial" w:hAnsi="Arial" w:cs="Arial"/>
          <w:sz w:val="24"/>
          <w:szCs w:val="24"/>
        </w:rPr>
      </w:pPr>
      <w:r>
        <w:rPr>
          <w:rFonts w:ascii="Arial" w:hAnsi="Arial" w:cs="Arial"/>
          <w:sz w:val="24"/>
          <w:szCs w:val="24"/>
        </w:rPr>
        <w:t xml:space="preserve">A further action that will be introduced from January 2021 is the reduction of weekly working hours for our BCPS employees with no reduction in pay. </w:t>
      </w:r>
    </w:p>
    <w:p w:rsidR="001A0623" w:rsidRDefault="001A0623" w:rsidP="001A0623">
      <w:pPr>
        <w:spacing w:after="0"/>
        <w:rPr>
          <w:rFonts w:ascii="Arial" w:hAnsi="Arial" w:cs="Arial"/>
          <w:sz w:val="24"/>
          <w:szCs w:val="24"/>
        </w:rPr>
      </w:pPr>
    </w:p>
    <w:p w:rsidR="001A0623" w:rsidRDefault="001A0623" w:rsidP="001A0623">
      <w:pPr>
        <w:spacing w:after="0"/>
        <w:rPr>
          <w:rFonts w:ascii="Arial" w:hAnsi="Arial" w:cs="Arial"/>
          <w:sz w:val="24"/>
          <w:szCs w:val="24"/>
        </w:rPr>
      </w:pPr>
      <w:r>
        <w:rPr>
          <w:rFonts w:ascii="Arial" w:hAnsi="Arial" w:cs="Arial"/>
          <w:sz w:val="24"/>
          <w:szCs w:val="24"/>
        </w:rPr>
        <w:t xml:space="preserve">We will carry out the next gender pay gap reporting for the relevant snapshot dates in 2021. </w:t>
      </w:r>
    </w:p>
    <w:p w:rsidR="00FC3337" w:rsidRDefault="00FC3337" w:rsidP="001A0623">
      <w:pPr>
        <w:spacing w:after="0"/>
        <w:rPr>
          <w:rFonts w:ascii="Arial" w:hAnsi="Arial" w:cs="Arial"/>
          <w:sz w:val="24"/>
          <w:szCs w:val="24"/>
        </w:rPr>
      </w:pPr>
    </w:p>
    <w:p w:rsidR="00FC3337" w:rsidRDefault="00FC3337" w:rsidP="001A0623">
      <w:pPr>
        <w:spacing w:after="0"/>
        <w:rPr>
          <w:rFonts w:ascii="Arial" w:hAnsi="Arial" w:cs="Arial"/>
          <w:sz w:val="24"/>
          <w:szCs w:val="24"/>
        </w:rPr>
      </w:pPr>
      <w:r>
        <w:rPr>
          <w:rFonts w:ascii="Arial" w:hAnsi="Arial" w:cs="Arial"/>
          <w:sz w:val="24"/>
          <w:szCs w:val="24"/>
        </w:rPr>
        <w:t>Lynsey Travers</w:t>
      </w:r>
    </w:p>
    <w:p w:rsidR="00FC3337" w:rsidRDefault="00FC3337" w:rsidP="001A0623">
      <w:pPr>
        <w:spacing w:after="0"/>
        <w:rPr>
          <w:rFonts w:ascii="Arial" w:hAnsi="Arial" w:cs="Arial"/>
          <w:sz w:val="24"/>
          <w:szCs w:val="24"/>
        </w:rPr>
      </w:pPr>
      <w:r>
        <w:rPr>
          <w:rFonts w:ascii="Arial" w:hAnsi="Arial" w:cs="Arial"/>
          <w:sz w:val="24"/>
          <w:szCs w:val="24"/>
        </w:rPr>
        <w:t>HR Manager</w:t>
      </w:r>
    </w:p>
    <w:p w:rsidR="00FC3337" w:rsidRPr="001A0623" w:rsidRDefault="00FC3337" w:rsidP="001A0623">
      <w:pPr>
        <w:spacing w:after="0"/>
        <w:rPr>
          <w:sz w:val="24"/>
          <w:szCs w:val="24"/>
        </w:rPr>
      </w:pPr>
      <w:r>
        <w:rPr>
          <w:rFonts w:ascii="Arial" w:hAnsi="Arial" w:cs="Arial"/>
          <w:sz w:val="24"/>
          <w:szCs w:val="24"/>
        </w:rPr>
        <w:t>The Bedford College Group</w:t>
      </w:r>
    </w:p>
    <w:p w:rsidR="00E71705" w:rsidRDefault="00E71705" w:rsidP="00E71705">
      <w:pPr>
        <w:spacing w:before="240" w:after="0"/>
        <w:rPr>
          <w:rFonts w:ascii="Arial" w:hAnsi="Arial" w:cs="Arial"/>
          <w:sz w:val="24"/>
          <w:szCs w:val="24"/>
        </w:rPr>
      </w:pPr>
    </w:p>
    <w:p w:rsidR="00E71705" w:rsidRPr="00E71705" w:rsidRDefault="00E71705" w:rsidP="00E71705">
      <w:pPr>
        <w:spacing w:before="240" w:after="0"/>
        <w:rPr>
          <w:rFonts w:ascii="Arial" w:hAnsi="Arial" w:cs="Arial"/>
          <w:color w:val="333333"/>
        </w:rPr>
      </w:pPr>
    </w:p>
    <w:sectPr w:rsidR="00E71705" w:rsidRPr="00E71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8707C"/>
    <w:multiLevelType w:val="hybridMultilevel"/>
    <w:tmpl w:val="441E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B49B8"/>
    <w:multiLevelType w:val="hybridMultilevel"/>
    <w:tmpl w:val="9AEE2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AD24AC"/>
    <w:multiLevelType w:val="hybridMultilevel"/>
    <w:tmpl w:val="52A4D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6773C9E"/>
    <w:multiLevelType w:val="hybridMultilevel"/>
    <w:tmpl w:val="4A68CA96"/>
    <w:lvl w:ilvl="0" w:tplc="0809000F">
      <w:start w:val="1"/>
      <w:numFmt w:val="decimal"/>
      <w:lvlText w:val="%1."/>
      <w:lvlJc w:val="left"/>
      <w:pPr>
        <w:ind w:left="360" w:hanging="360"/>
      </w:pPr>
    </w:lvl>
    <w:lvl w:ilvl="1" w:tplc="0809000F">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F2"/>
    <w:rsid w:val="00075185"/>
    <w:rsid w:val="000A5F96"/>
    <w:rsid w:val="00150012"/>
    <w:rsid w:val="001A0623"/>
    <w:rsid w:val="00244B8A"/>
    <w:rsid w:val="002C5338"/>
    <w:rsid w:val="00467F1B"/>
    <w:rsid w:val="00487ACD"/>
    <w:rsid w:val="005023F2"/>
    <w:rsid w:val="00547699"/>
    <w:rsid w:val="005B634B"/>
    <w:rsid w:val="005D2A84"/>
    <w:rsid w:val="005D6B4F"/>
    <w:rsid w:val="005E71C0"/>
    <w:rsid w:val="00646DB9"/>
    <w:rsid w:val="00745CD9"/>
    <w:rsid w:val="007638EC"/>
    <w:rsid w:val="007902A2"/>
    <w:rsid w:val="007D5E98"/>
    <w:rsid w:val="008411E9"/>
    <w:rsid w:val="0086397F"/>
    <w:rsid w:val="008766DC"/>
    <w:rsid w:val="00913255"/>
    <w:rsid w:val="00997CF9"/>
    <w:rsid w:val="009A2826"/>
    <w:rsid w:val="009E6BC7"/>
    <w:rsid w:val="009F3912"/>
    <w:rsid w:val="00A07C14"/>
    <w:rsid w:val="00A639F3"/>
    <w:rsid w:val="00A91342"/>
    <w:rsid w:val="00BD5427"/>
    <w:rsid w:val="00C1654C"/>
    <w:rsid w:val="00CD7FA2"/>
    <w:rsid w:val="00D759A4"/>
    <w:rsid w:val="00DD19AD"/>
    <w:rsid w:val="00E3314D"/>
    <w:rsid w:val="00E54DDE"/>
    <w:rsid w:val="00E71705"/>
    <w:rsid w:val="00E84F68"/>
    <w:rsid w:val="00EA232E"/>
    <w:rsid w:val="00EE125D"/>
    <w:rsid w:val="00EE4AC6"/>
    <w:rsid w:val="00EF3E1B"/>
    <w:rsid w:val="00F120C8"/>
    <w:rsid w:val="00FC3337"/>
    <w:rsid w:val="00FF3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3B77A-B58F-41A5-930F-32D287F1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02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F2"/>
    <w:rPr>
      <w:rFonts w:ascii="Tahoma" w:hAnsi="Tahoma" w:cs="Tahoma"/>
      <w:sz w:val="16"/>
      <w:szCs w:val="16"/>
    </w:rPr>
  </w:style>
  <w:style w:type="paragraph" w:styleId="ListParagraph">
    <w:name w:val="List Paragraph"/>
    <w:basedOn w:val="Normal"/>
    <w:uiPriority w:val="34"/>
    <w:qFormat/>
    <w:rsid w:val="00244B8A"/>
    <w:pPr>
      <w:ind w:left="720"/>
      <w:contextualSpacing/>
    </w:pPr>
  </w:style>
  <w:style w:type="table" w:styleId="TableGrid">
    <w:name w:val="Table Grid"/>
    <w:basedOn w:val="TableNormal"/>
    <w:uiPriority w:val="59"/>
    <w:rsid w:val="00BD5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20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902A2"/>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978392">
      <w:bodyDiv w:val="1"/>
      <w:marLeft w:val="0"/>
      <w:marRight w:val="0"/>
      <w:marTop w:val="0"/>
      <w:marBottom w:val="0"/>
      <w:divBdr>
        <w:top w:val="none" w:sz="0" w:space="0" w:color="auto"/>
        <w:left w:val="none" w:sz="0" w:space="0" w:color="auto"/>
        <w:bottom w:val="none" w:sz="0" w:space="0" w:color="auto"/>
        <w:right w:val="none" w:sz="0" w:space="0" w:color="auto"/>
      </w:divBdr>
    </w:div>
    <w:div w:id="1839492414">
      <w:bodyDiv w:val="1"/>
      <w:marLeft w:val="0"/>
      <w:marRight w:val="0"/>
      <w:marTop w:val="0"/>
      <w:marBottom w:val="0"/>
      <w:divBdr>
        <w:top w:val="none" w:sz="0" w:space="0" w:color="auto"/>
        <w:left w:val="none" w:sz="0" w:space="0" w:color="auto"/>
        <w:bottom w:val="none" w:sz="0" w:space="0" w:color="auto"/>
        <w:right w:val="none" w:sz="0" w:space="0" w:color="auto"/>
      </w:divBdr>
    </w:div>
    <w:div w:id="20033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E:\Gender%20Pay%20Gap\BC\BC%20GPG%2031.03.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Gender%20Pay%20Gap\BCPS\BCPS%20GPG%2005.04.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Bedford College</a:t>
            </a:r>
            <a:r>
              <a:rPr lang="en-GB" baseline="0"/>
              <a:t> - </a:t>
            </a:r>
          </a:p>
          <a:p>
            <a:pPr>
              <a:defRPr/>
            </a:pPr>
            <a:r>
              <a:rPr lang="en-GB"/>
              <a:t>Proportion of male and female employees in each quartile</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Sheet8!$B$1</c:f>
              <c:strCache>
                <c:ptCount val="1"/>
                <c:pt idx="0">
                  <c:v>Male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Sheet8!$A$2:$A$5</c:f>
              <c:strCache>
                <c:ptCount val="4"/>
                <c:pt idx="0">
                  <c:v>Lower</c:v>
                </c:pt>
                <c:pt idx="1">
                  <c:v>Lower Middle</c:v>
                </c:pt>
                <c:pt idx="2">
                  <c:v>Upper Middle</c:v>
                </c:pt>
                <c:pt idx="3">
                  <c:v>Upper</c:v>
                </c:pt>
              </c:strCache>
            </c:strRef>
          </c:cat>
          <c:val>
            <c:numRef>
              <c:f>Sheet8!$B$2:$B$5</c:f>
              <c:numCache>
                <c:formatCode>0.0%</c:formatCode>
                <c:ptCount val="4"/>
                <c:pt idx="0">
                  <c:v>0.30399999999999999</c:v>
                </c:pt>
                <c:pt idx="1">
                  <c:v>0.45300000000000001</c:v>
                </c:pt>
                <c:pt idx="2">
                  <c:v>0.53400000000000003</c:v>
                </c:pt>
                <c:pt idx="3">
                  <c:v>0.44700000000000001</c:v>
                </c:pt>
              </c:numCache>
            </c:numRef>
          </c:val>
          <c:extLst>
            <c:ext xmlns:c16="http://schemas.microsoft.com/office/drawing/2014/chart" uri="{C3380CC4-5D6E-409C-BE32-E72D297353CC}">
              <c16:uniqueId val="{00000000-168C-49A0-9FD0-7D2E47C8AB67}"/>
            </c:ext>
          </c:extLst>
        </c:ser>
        <c:ser>
          <c:idx val="1"/>
          <c:order val="1"/>
          <c:tx>
            <c:strRef>
              <c:f>Sheet8!$C$1</c:f>
              <c:strCache>
                <c:ptCount val="1"/>
                <c:pt idx="0">
                  <c:v>Female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Sheet8!$A$2:$A$5</c:f>
              <c:strCache>
                <c:ptCount val="4"/>
                <c:pt idx="0">
                  <c:v>Lower</c:v>
                </c:pt>
                <c:pt idx="1">
                  <c:v>Lower Middle</c:v>
                </c:pt>
                <c:pt idx="2">
                  <c:v>Upper Middle</c:v>
                </c:pt>
                <c:pt idx="3">
                  <c:v>Upper</c:v>
                </c:pt>
              </c:strCache>
            </c:strRef>
          </c:cat>
          <c:val>
            <c:numRef>
              <c:f>Sheet8!$C$2:$C$5</c:f>
              <c:numCache>
                <c:formatCode>0.0%</c:formatCode>
                <c:ptCount val="4"/>
                <c:pt idx="0">
                  <c:v>0.69599999999999995</c:v>
                </c:pt>
                <c:pt idx="1">
                  <c:v>0.54700000000000004</c:v>
                </c:pt>
                <c:pt idx="2">
                  <c:v>0.46600000000000003</c:v>
                </c:pt>
                <c:pt idx="3">
                  <c:v>0.55300000000000005</c:v>
                </c:pt>
              </c:numCache>
            </c:numRef>
          </c:val>
          <c:extLst>
            <c:ext xmlns:c16="http://schemas.microsoft.com/office/drawing/2014/chart" uri="{C3380CC4-5D6E-409C-BE32-E72D297353CC}">
              <c16:uniqueId val="{00000001-168C-49A0-9FD0-7D2E47C8AB67}"/>
            </c:ext>
          </c:extLst>
        </c:ser>
        <c:dLbls>
          <c:showLegendKey val="0"/>
          <c:showVal val="1"/>
          <c:showCatName val="0"/>
          <c:showSerName val="0"/>
          <c:showPercent val="0"/>
          <c:showBubbleSize val="0"/>
        </c:dLbls>
        <c:gapWidth val="100"/>
        <c:overlap val="-24"/>
        <c:axId val="317260136"/>
        <c:axId val="317259152"/>
      </c:barChart>
      <c:catAx>
        <c:axId val="3172601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259152"/>
        <c:crosses val="autoZero"/>
        <c:auto val="1"/>
        <c:lblAlgn val="ctr"/>
        <c:lblOffset val="100"/>
        <c:noMultiLvlLbl val="0"/>
      </c:catAx>
      <c:valAx>
        <c:axId val="3172591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260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b="1" i="0" baseline="0">
                <a:effectLst/>
              </a:rPr>
              <a:t>BCPS - </a:t>
            </a:r>
          </a:p>
          <a:p>
            <a:pPr>
              <a:defRPr/>
            </a:pPr>
            <a:r>
              <a:rPr lang="en-GB" sz="1800" b="1" i="0" baseline="0">
                <a:effectLst/>
              </a:rPr>
              <a:t>Proportion of male and female employees in each quartile</a:t>
            </a:r>
            <a:endParaRPr lang="en-GB">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Sheet8!$B$1</c:f>
              <c:strCache>
                <c:ptCount val="1"/>
                <c:pt idx="0">
                  <c:v>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Sheet8!$A$2:$A$5</c:f>
              <c:strCache>
                <c:ptCount val="4"/>
                <c:pt idx="0">
                  <c:v>Lower</c:v>
                </c:pt>
                <c:pt idx="1">
                  <c:v>Lower Midde</c:v>
                </c:pt>
                <c:pt idx="2">
                  <c:v>Upper Middle</c:v>
                </c:pt>
                <c:pt idx="3">
                  <c:v>Upper</c:v>
                </c:pt>
              </c:strCache>
            </c:strRef>
          </c:cat>
          <c:val>
            <c:numRef>
              <c:f>Sheet8!$B$2:$B$5</c:f>
              <c:numCache>
                <c:formatCode>0.0%</c:formatCode>
                <c:ptCount val="4"/>
                <c:pt idx="0">
                  <c:v>0.315</c:v>
                </c:pt>
                <c:pt idx="1">
                  <c:v>0.30399999999999999</c:v>
                </c:pt>
                <c:pt idx="2">
                  <c:v>0.35899999999999999</c:v>
                </c:pt>
                <c:pt idx="3">
                  <c:v>0.27900000000000003</c:v>
                </c:pt>
              </c:numCache>
            </c:numRef>
          </c:val>
          <c:extLst>
            <c:ext xmlns:c16="http://schemas.microsoft.com/office/drawing/2014/chart" uri="{C3380CC4-5D6E-409C-BE32-E72D297353CC}">
              <c16:uniqueId val="{00000000-6622-4F13-86AC-34A0C9EA7BB7}"/>
            </c:ext>
          </c:extLst>
        </c:ser>
        <c:ser>
          <c:idx val="1"/>
          <c:order val="1"/>
          <c:tx>
            <c:strRef>
              <c:f>Sheet8!$C$1</c:f>
              <c:strCache>
                <c:ptCount val="1"/>
                <c:pt idx="0">
                  <c:v>Female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Sheet8!$A$2:$A$5</c:f>
              <c:strCache>
                <c:ptCount val="4"/>
                <c:pt idx="0">
                  <c:v>Lower</c:v>
                </c:pt>
                <c:pt idx="1">
                  <c:v>Lower Midde</c:v>
                </c:pt>
                <c:pt idx="2">
                  <c:v>Upper Middle</c:v>
                </c:pt>
                <c:pt idx="3">
                  <c:v>Upper</c:v>
                </c:pt>
              </c:strCache>
            </c:strRef>
          </c:cat>
          <c:val>
            <c:numRef>
              <c:f>Sheet8!$C$2:$C$5</c:f>
              <c:numCache>
                <c:formatCode>0.0%</c:formatCode>
                <c:ptCount val="4"/>
                <c:pt idx="0">
                  <c:v>0.68500000000000005</c:v>
                </c:pt>
                <c:pt idx="1">
                  <c:v>0.69599999999999995</c:v>
                </c:pt>
                <c:pt idx="2">
                  <c:v>0.64100000000000001</c:v>
                </c:pt>
                <c:pt idx="3">
                  <c:v>0.72099999999999997</c:v>
                </c:pt>
              </c:numCache>
            </c:numRef>
          </c:val>
          <c:extLst>
            <c:ext xmlns:c16="http://schemas.microsoft.com/office/drawing/2014/chart" uri="{C3380CC4-5D6E-409C-BE32-E72D297353CC}">
              <c16:uniqueId val="{00000001-6622-4F13-86AC-34A0C9EA7BB7}"/>
            </c:ext>
          </c:extLst>
        </c:ser>
        <c:dLbls>
          <c:showLegendKey val="0"/>
          <c:showVal val="1"/>
          <c:showCatName val="0"/>
          <c:showSerName val="0"/>
          <c:showPercent val="0"/>
          <c:showBubbleSize val="0"/>
        </c:dLbls>
        <c:gapWidth val="150"/>
        <c:overlap val="-25"/>
        <c:axId val="390707624"/>
        <c:axId val="390707952"/>
      </c:barChart>
      <c:catAx>
        <c:axId val="390707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707952"/>
        <c:crosses val="autoZero"/>
        <c:auto val="1"/>
        <c:lblAlgn val="ctr"/>
        <c:lblOffset val="100"/>
        <c:noMultiLvlLbl val="0"/>
      </c:catAx>
      <c:valAx>
        <c:axId val="390707952"/>
        <c:scaling>
          <c:orientation val="minMax"/>
        </c:scaling>
        <c:delete val="1"/>
        <c:axPos val="l"/>
        <c:numFmt formatCode="0.0%" sourceLinked="1"/>
        <c:majorTickMark val="none"/>
        <c:minorTickMark val="none"/>
        <c:tickLblPos val="nextTo"/>
        <c:crossAx val="39070762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934</Words>
  <Characters>5325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Tresham College Of Further and Higher Education</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Cornes, Lynsey</dc:creator>
  <cp:lastModifiedBy>Tilley-Sanders, Michelle</cp:lastModifiedBy>
  <cp:revision>2</cp:revision>
  <cp:lastPrinted>2019-03-29T11:00:00Z</cp:lastPrinted>
  <dcterms:created xsi:type="dcterms:W3CDTF">2021-10-05T08:37:00Z</dcterms:created>
  <dcterms:modified xsi:type="dcterms:W3CDTF">2021-10-05T08:37:00Z</dcterms:modified>
</cp:coreProperties>
</file>