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D01" w:rsidRDefault="00947BF3">
      <w:pPr>
        <w:pStyle w:val="BodyText"/>
        <w:jc w:val="center"/>
        <w:rPr>
          <w:rFonts w:ascii="Arial" w:eastAsia="Arial" w:hAnsi="Arial" w:cs="Arial"/>
          <w:sz w:val="24"/>
          <w:szCs w:val="24"/>
        </w:rPr>
      </w:pPr>
      <w:r>
        <w:rPr>
          <w:rFonts w:ascii="Arial" w:hAnsi="Arial"/>
          <w:sz w:val="24"/>
          <w:szCs w:val="24"/>
        </w:rPr>
        <w:t>Minutes of the</w:t>
      </w:r>
    </w:p>
    <w:p w:rsidR="00122D01" w:rsidRDefault="00C16265">
      <w:pPr>
        <w:pStyle w:val="BodyText"/>
        <w:jc w:val="center"/>
        <w:rPr>
          <w:rFonts w:ascii="Arial" w:eastAsia="Arial" w:hAnsi="Arial" w:cs="Arial"/>
          <w:sz w:val="24"/>
          <w:szCs w:val="24"/>
        </w:rPr>
      </w:pPr>
      <w:r>
        <w:rPr>
          <w:rFonts w:ascii="Arial" w:hAnsi="Arial"/>
          <w:sz w:val="24"/>
          <w:szCs w:val="24"/>
        </w:rPr>
        <w:t>Audit</w:t>
      </w:r>
      <w:r w:rsidR="00947BF3">
        <w:rPr>
          <w:rFonts w:ascii="Arial" w:hAnsi="Arial"/>
          <w:sz w:val="24"/>
          <w:szCs w:val="24"/>
        </w:rPr>
        <w:t xml:space="preserve"> Committee</w:t>
      </w:r>
    </w:p>
    <w:p w:rsidR="00122D01" w:rsidRDefault="00922705">
      <w:pPr>
        <w:pStyle w:val="BodyText"/>
        <w:jc w:val="center"/>
        <w:rPr>
          <w:rFonts w:ascii="Arial" w:eastAsia="Arial" w:hAnsi="Arial" w:cs="Arial"/>
          <w:sz w:val="24"/>
          <w:szCs w:val="24"/>
        </w:rPr>
      </w:pPr>
      <w:r>
        <w:rPr>
          <w:rFonts w:ascii="Arial" w:hAnsi="Arial"/>
          <w:sz w:val="24"/>
          <w:szCs w:val="24"/>
        </w:rPr>
        <w:t xml:space="preserve"> </w:t>
      </w:r>
      <w:r w:rsidR="008449D0">
        <w:rPr>
          <w:rFonts w:ascii="Arial" w:hAnsi="Arial"/>
          <w:sz w:val="24"/>
          <w:szCs w:val="24"/>
        </w:rPr>
        <w:t xml:space="preserve">Monday </w:t>
      </w:r>
      <w:r w:rsidRPr="008449D0">
        <w:rPr>
          <w:rFonts w:ascii="Arial" w:hAnsi="Arial"/>
          <w:sz w:val="24"/>
          <w:szCs w:val="24"/>
        </w:rPr>
        <w:t xml:space="preserve">22 </w:t>
      </w:r>
      <w:r w:rsidR="007B2E95" w:rsidRPr="008449D0">
        <w:rPr>
          <w:rFonts w:ascii="Arial" w:hAnsi="Arial"/>
          <w:sz w:val="24"/>
          <w:szCs w:val="24"/>
        </w:rPr>
        <w:t xml:space="preserve">June </w:t>
      </w:r>
      <w:r w:rsidR="005913E4" w:rsidRPr="008449D0">
        <w:rPr>
          <w:rFonts w:ascii="Arial" w:hAnsi="Arial"/>
          <w:sz w:val="24"/>
          <w:szCs w:val="24"/>
        </w:rPr>
        <w:t>2020</w:t>
      </w:r>
    </w:p>
    <w:p w:rsidR="00122D01" w:rsidRDefault="007B2E95">
      <w:pPr>
        <w:pStyle w:val="BodyText"/>
        <w:jc w:val="center"/>
        <w:rPr>
          <w:rFonts w:ascii="Arial" w:eastAsia="Arial" w:hAnsi="Arial" w:cs="Arial"/>
          <w:b w:val="0"/>
          <w:bCs w:val="0"/>
          <w:sz w:val="24"/>
          <w:szCs w:val="24"/>
        </w:rPr>
      </w:pPr>
      <w:r>
        <w:rPr>
          <w:rFonts w:ascii="Arial" w:hAnsi="Arial"/>
          <w:sz w:val="24"/>
          <w:szCs w:val="24"/>
        </w:rPr>
        <w:t>Video Conference- Microsoft Teams</w:t>
      </w:r>
    </w:p>
    <w:p w:rsidR="00122D01" w:rsidRDefault="00122D01">
      <w:pPr>
        <w:pStyle w:val="Body"/>
      </w:pPr>
    </w:p>
    <w:tbl>
      <w:tblPr>
        <w:tblW w:w="95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93"/>
        <w:gridCol w:w="75"/>
        <w:gridCol w:w="2948"/>
        <w:gridCol w:w="4915"/>
      </w:tblGrid>
      <w:tr w:rsidR="00D57D79" w:rsidTr="00D57D79">
        <w:trPr>
          <w:trHeight w:val="1193"/>
        </w:trPr>
        <w:tc>
          <w:tcPr>
            <w:tcW w:w="1668" w:type="dxa"/>
            <w:gridSpan w:val="2"/>
            <w:tcBorders>
              <w:top w:val="nil"/>
              <w:left w:val="nil"/>
              <w:bottom w:val="nil"/>
              <w:right w:val="nil"/>
            </w:tcBorders>
            <w:shd w:val="clear" w:color="auto" w:fill="auto"/>
            <w:tcMar>
              <w:top w:w="80" w:type="dxa"/>
              <w:left w:w="80" w:type="dxa"/>
              <w:bottom w:w="80" w:type="dxa"/>
              <w:right w:w="80" w:type="dxa"/>
            </w:tcMar>
          </w:tcPr>
          <w:p w:rsidR="00D57D79" w:rsidRDefault="00D57D79">
            <w:pPr>
              <w:pStyle w:val="Body"/>
              <w:spacing w:after="0" w:line="240" w:lineRule="auto"/>
            </w:pPr>
            <w:r>
              <w:rPr>
                <w:rFonts w:ascii="Arial" w:hAnsi="Arial"/>
                <w:b/>
                <w:bCs/>
                <w:lang w:val="en-US"/>
              </w:rPr>
              <w:t>Present:</w:t>
            </w:r>
          </w:p>
        </w:tc>
        <w:tc>
          <w:tcPr>
            <w:tcW w:w="7863" w:type="dxa"/>
            <w:gridSpan w:val="2"/>
            <w:tcBorders>
              <w:top w:val="nil"/>
              <w:left w:val="nil"/>
              <w:bottom w:val="nil"/>
              <w:right w:val="nil"/>
            </w:tcBorders>
            <w:shd w:val="clear" w:color="auto" w:fill="auto"/>
            <w:tcMar>
              <w:top w:w="80" w:type="dxa"/>
              <w:left w:w="80" w:type="dxa"/>
              <w:bottom w:w="80" w:type="dxa"/>
              <w:right w:w="80" w:type="dxa"/>
            </w:tcMar>
          </w:tcPr>
          <w:p w:rsidR="00D57D79" w:rsidRDefault="00D57D79">
            <w:pPr>
              <w:pStyle w:val="Body"/>
              <w:spacing w:after="0" w:line="240" w:lineRule="auto"/>
              <w:rPr>
                <w:rFonts w:ascii="Arial" w:hAnsi="Arial"/>
                <w:lang w:val="en-US"/>
              </w:rPr>
            </w:pPr>
            <w:r>
              <w:rPr>
                <w:rFonts w:ascii="Arial" w:hAnsi="Arial"/>
                <w:lang w:val="en-US"/>
              </w:rPr>
              <w:t>Richard Dimbleby (RD)</w:t>
            </w:r>
            <w:r w:rsidR="00A31BA2">
              <w:rPr>
                <w:rFonts w:ascii="Arial" w:hAnsi="Arial"/>
                <w:lang w:val="en-US"/>
              </w:rPr>
              <w:t xml:space="preserve"> (Chair)</w:t>
            </w:r>
          </w:p>
          <w:p w:rsidR="00A31BA2" w:rsidRDefault="00A31BA2">
            <w:pPr>
              <w:pStyle w:val="Body"/>
              <w:spacing w:after="0" w:line="240" w:lineRule="auto"/>
              <w:rPr>
                <w:rFonts w:ascii="Arial" w:hAnsi="Arial"/>
                <w:lang w:val="en-US"/>
              </w:rPr>
            </w:pPr>
            <w:r>
              <w:rPr>
                <w:rFonts w:ascii="Arial" w:hAnsi="Arial"/>
                <w:lang w:val="en-US"/>
              </w:rPr>
              <w:t>Stewart Briggs</w:t>
            </w:r>
            <w:r w:rsidR="00763E49">
              <w:rPr>
                <w:rFonts w:ascii="Arial" w:hAnsi="Arial"/>
                <w:lang w:val="en-US"/>
              </w:rPr>
              <w:t xml:space="preserve"> (SB)</w:t>
            </w:r>
          </w:p>
          <w:p w:rsidR="00A31BA2" w:rsidRDefault="00A31BA2">
            <w:pPr>
              <w:pStyle w:val="Body"/>
              <w:spacing w:after="0" w:line="240" w:lineRule="auto"/>
              <w:rPr>
                <w:rFonts w:ascii="Arial" w:hAnsi="Arial"/>
                <w:lang w:val="en-US"/>
              </w:rPr>
            </w:pPr>
            <w:r>
              <w:rPr>
                <w:rFonts w:ascii="Arial" w:hAnsi="Arial"/>
                <w:lang w:val="en-US"/>
              </w:rPr>
              <w:t>Andy Ellis</w:t>
            </w:r>
            <w:r w:rsidR="00763E49">
              <w:rPr>
                <w:rFonts w:ascii="Arial" w:hAnsi="Arial"/>
                <w:lang w:val="en-US"/>
              </w:rPr>
              <w:t xml:space="preserve"> (AE)</w:t>
            </w:r>
          </w:p>
          <w:p w:rsidR="00A31BA2" w:rsidRDefault="00A31BA2">
            <w:pPr>
              <w:pStyle w:val="Body"/>
              <w:spacing w:after="0" w:line="240" w:lineRule="auto"/>
              <w:rPr>
                <w:rFonts w:ascii="Arial" w:hAnsi="Arial"/>
                <w:lang w:val="en-US"/>
              </w:rPr>
            </w:pPr>
            <w:r>
              <w:rPr>
                <w:rFonts w:ascii="Arial" w:hAnsi="Arial"/>
                <w:lang w:val="en-US"/>
              </w:rPr>
              <w:t>Sharon De-Leonardis</w:t>
            </w:r>
            <w:r w:rsidR="00763E49">
              <w:rPr>
                <w:rFonts w:ascii="Arial" w:hAnsi="Arial"/>
                <w:lang w:val="en-US"/>
              </w:rPr>
              <w:t xml:space="preserve"> (SDL)</w:t>
            </w:r>
          </w:p>
          <w:p w:rsidR="00D57D79" w:rsidRDefault="00D57D79">
            <w:pPr>
              <w:pStyle w:val="Body"/>
              <w:spacing w:after="0" w:line="240" w:lineRule="auto"/>
              <w:rPr>
                <w:rFonts w:ascii="Arial" w:hAnsi="Arial"/>
                <w:lang w:val="en-US"/>
              </w:rPr>
            </w:pPr>
            <w:r>
              <w:rPr>
                <w:rFonts w:ascii="Arial" w:hAnsi="Arial"/>
                <w:lang w:val="en-US"/>
              </w:rPr>
              <w:t>Mark Lawson (ML)</w:t>
            </w:r>
          </w:p>
          <w:p w:rsidR="00D57D79" w:rsidRDefault="00D57D79" w:rsidP="00A31BA2">
            <w:pPr>
              <w:pStyle w:val="Body"/>
              <w:spacing w:after="0" w:line="240" w:lineRule="auto"/>
            </w:pPr>
          </w:p>
        </w:tc>
      </w:tr>
      <w:tr w:rsidR="00D57D79" w:rsidTr="00D57D79">
        <w:trPr>
          <w:trHeight w:val="1193"/>
        </w:trPr>
        <w:tc>
          <w:tcPr>
            <w:tcW w:w="1668" w:type="dxa"/>
            <w:gridSpan w:val="2"/>
            <w:tcBorders>
              <w:top w:val="nil"/>
              <w:left w:val="nil"/>
              <w:bottom w:val="nil"/>
              <w:right w:val="nil"/>
            </w:tcBorders>
            <w:shd w:val="clear" w:color="auto" w:fill="auto"/>
            <w:tcMar>
              <w:top w:w="80" w:type="dxa"/>
              <w:left w:w="80" w:type="dxa"/>
              <w:bottom w:w="80" w:type="dxa"/>
              <w:right w:w="80" w:type="dxa"/>
            </w:tcMar>
          </w:tcPr>
          <w:p w:rsidR="00D57D79" w:rsidRDefault="00D57D79">
            <w:pPr>
              <w:pStyle w:val="Body"/>
              <w:spacing w:after="0" w:line="240" w:lineRule="auto"/>
              <w:rPr>
                <w:rFonts w:ascii="Arial" w:hAnsi="Arial"/>
                <w:b/>
                <w:bCs/>
                <w:lang w:val="en-US"/>
              </w:rPr>
            </w:pPr>
            <w:r>
              <w:rPr>
                <w:rFonts w:ascii="Arial" w:hAnsi="Arial"/>
                <w:b/>
                <w:bCs/>
                <w:lang w:val="en-US"/>
              </w:rPr>
              <w:t>In attendance</w:t>
            </w:r>
            <w:r>
              <w:rPr>
                <w:rFonts w:ascii="Arial" w:hAnsi="Arial"/>
                <w:lang w:val="en-US"/>
              </w:rPr>
              <w:t>:</w:t>
            </w:r>
          </w:p>
        </w:tc>
        <w:tc>
          <w:tcPr>
            <w:tcW w:w="7863" w:type="dxa"/>
            <w:gridSpan w:val="2"/>
            <w:tcBorders>
              <w:top w:val="nil"/>
              <w:left w:val="nil"/>
              <w:bottom w:val="nil"/>
              <w:right w:val="nil"/>
            </w:tcBorders>
            <w:shd w:val="clear" w:color="auto" w:fill="auto"/>
            <w:tcMar>
              <w:top w:w="80" w:type="dxa"/>
              <w:left w:w="80" w:type="dxa"/>
              <w:bottom w:w="80" w:type="dxa"/>
              <w:right w:w="80" w:type="dxa"/>
            </w:tcMar>
          </w:tcPr>
          <w:p w:rsidR="00A31BA2" w:rsidRDefault="00A31BA2" w:rsidP="00A31BA2">
            <w:pPr>
              <w:pStyle w:val="Body"/>
              <w:spacing w:after="0" w:line="240" w:lineRule="auto"/>
              <w:rPr>
                <w:rFonts w:ascii="Arial" w:hAnsi="Arial"/>
                <w:lang w:val="en-US"/>
              </w:rPr>
            </w:pPr>
            <w:r>
              <w:rPr>
                <w:rFonts w:ascii="Arial" w:hAnsi="Arial"/>
                <w:lang w:val="en-US"/>
              </w:rPr>
              <w:t>Jonathan Creed</w:t>
            </w:r>
            <w:r w:rsidR="00763E49">
              <w:rPr>
                <w:rFonts w:ascii="Arial" w:hAnsi="Arial"/>
                <w:lang w:val="en-US"/>
              </w:rPr>
              <w:t xml:space="preserve"> (JC) (ICCA)</w:t>
            </w:r>
          </w:p>
          <w:p w:rsidR="00A31BA2" w:rsidRDefault="00A31BA2" w:rsidP="00A31BA2">
            <w:pPr>
              <w:pStyle w:val="Body"/>
              <w:spacing w:after="0" w:line="240" w:lineRule="auto"/>
              <w:rPr>
                <w:rFonts w:ascii="Arial" w:hAnsi="Arial"/>
                <w:lang w:val="en-US"/>
              </w:rPr>
            </w:pPr>
            <w:r>
              <w:rPr>
                <w:rFonts w:ascii="Arial" w:hAnsi="Arial"/>
                <w:lang w:val="en-US"/>
              </w:rPr>
              <w:t>Pat Jones</w:t>
            </w:r>
            <w:r w:rsidR="00763E49">
              <w:rPr>
                <w:rFonts w:ascii="Arial" w:hAnsi="Arial"/>
                <w:lang w:val="en-US"/>
              </w:rPr>
              <w:t xml:space="preserve"> (PJ) Executive Director of Finance</w:t>
            </w:r>
          </w:p>
          <w:p w:rsidR="00A31BA2" w:rsidRDefault="00A31BA2" w:rsidP="00A31BA2">
            <w:pPr>
              <w:pStyle w:val="Body"/>
              <w:spacing w:after="0" w:line="240" w:lineRule="auto"/>
              <w:rPr>
                <w:rFonts w:ascii="Arial" w:hAnsi="Arial"/>
                <w:lang w:val="en-US"/>
              </w:rPr>
            </w:pPr>
            <w:r>
              <w:rPr>
                <w:rFonts w:ascii="Arial" w:hAnsi="Arial"/>
                <w:lang w:val="en-US"/>
              </w:rPr>
              <w:t>Eno Kadiri</w:t>
            </w:r>
            <w:r w:rsidR="00763E49">
              <w:rPr>
                <w:rFonts w:ascii="Arial" w:hAnsi="Arial"/>
                <w:lang w:val="en-US"/>
              </w:rPr>
              <w:t xml:space="preserve"> (EK) Data Protection Officer</w:t>
            </w:r>
          </w:p>
          <w:p w:rsidR="00A31BA2" w:rsidRDefault="00A31BA2" w:rsidP="00A31BA2">
            <w:pPr>
              <w:pStyle w:val="Body"/>
              <w:spacing w:after="0" w:line="240" w:lineRule="auto"/>
              <w:rPr>
                <w:rFonts w:ascii="Arial" w:hAnsi="Arial"/>
                <w:lang w:val="en-US"/>
              </w:rPr>
            </w:pPr>
            <w:r>
              <w:rPr>
                <w:rFonts w:ascii="Arial" w:hAnsi="Arial"/>
                <w:lang w:val="en-US"/>
              </w:rPr>
              <w:t>Ian Pryce (IP)</w:t>
            </w:r>
            <w:r w:rsidR="00763E49">
              <w:rPr>
                <w:rFonts w:ascii="Arial" w:hAnsi="Arial"/>
                <w:lang w:val="en-US"/>
              </w:rPr>
              <w:t xml:space="preserve"> Principal &amp; CEO</w:t>
            </w:r>
          </w:p>
          <w:p w:rsidR="00A31BA2" w:rsidRDefault="00A31BA2">
            <w:pPr>
              <w:pStyle w:val="Body"/>
              <w:spacing w:after="0" w:line="240" w:lineRule="auto"/>
              <w:rPr>
                <w:rFonts w:ascii="Arial" w:hAnsi="Arial"/>
                <w:lang w:val="en-US"/>
              </w:rPr>
            </w:pPr>
          </w:p>
        </w:tc>
      </w:tr>
      <w:tr w:rsidR="00D57D79" w:rsidTr="00D57D79">
        <w:trPr>
          <w:trHeight w:val="272"/>
        </w:trPr>
        <w:tc>
          <w:tcPr>
            <w:tcW w:w="1668" w:type="dxa"/>
            <w:gridSpan w:val="2"/>
            <w:tcBorders>
              <w:top w:val="nil"/>
              <w:left w:val="nil"/>
              <w:bottom w:val="nil"/>
              <w:right w:val="nil"/>
            </w:tcBorders>
            <w:shd w:val="clear" w:color="auto" w:fill="auto"/>
            <w:tcMar>
              <w:top w:w="80" w:type="dxa"/>
              <w:left w:w="80" w:type="dxa"/>
              <w:bottom w:w="80" w:type="dxa"/>
              <w:right w:w="80" w:type="dxa"/>
            </w:tcMar>
          </w:tcPr>
          <w:p w:rsidR="00D57D79" w:rsidRDefault="00D57D79"/>
        </w:tc>
        <w:tc>
          <w:tcPr>
            <w:tcW w:w="2948" w:type="dxa"/>
            <w:tcBorders>
              <w:top w:val="nil"/>
              <w:left w:val="nil"/>
              <w:bottom w:val="nil"/>
              <w:right w:val="nil"/>
            </w:tcBorders>
            <w:shd w:val="clear" w:color="auto" w:fill="auto"/>
            <w:tcMar>
              <w:top w:w="80" w:type="dxa"/>
              <w:left w:w="80" w:type="dxa"/>
              <w:bottom w:w="80" w:type="dxa"/>
              <w:right w:w="80" w:type="dxa"/>
            </w:tcMar>
          </w:tcPr>
          <w:p w:rsidR="00D57D79" w:rsidRDefault="00D57D79"/>
        </w:tc>
        <w:tc>
          <w:tcPr>
            <w:tcW w:w="4915" w:type="dxa"/>
            <w:tcBorders>
              <w:top w:val="nil"/>
              <w:left w:val="nil"/>
              <w:bottom w:val="nil"/>
              <w:right w:val="nil"/>
            </w:tcBorders>
            <w:shd w:val="clear" w:color="auto" w:fill="auto"/>
            <w:tcMar>
              <w:top w:w="80" w:type="dxa"/>
              <w:left w:w="80" w:type="dxa"/>
              <w:bottom w:w="80" w:type="dxa"/>
              <w:right w:w="80" w:type="dxa"/>
            </w:tcMar>
          </w:tcPr>
          <w:p w:rsidR="00D57D79" w:rsidRDefault="00D57D79"/>
        </w:tc>
      </w:tr>
      <w:tr w:rsidR="00D57D79" w:rsidTr="00D57D79">
        <w:trPr>
          <w:trHeight w:val="272"/>
        </w:trPr>
        <w:tc>
          <w:tcPr>
            <w:tcW w:w="1593" w:type="dxa"/>
            <w:tcBorders>
              <w:top w:val="nil"/>
              <w:left w:val="nil"/>
              <w:bottom w:val="nil"/>
              <w:right w:val="nil"/>
            </w:tcBorders>
            <w:shd w:val="clear" w:color="auto" w:fill="DBE5F1" w:themeFill="accent1" w:themeFillTint="33"/>
            <w:tcMar>
              <w:top w:w="80" w:type="dxa"/>
              <w:left w:w="80" w:type="dxa"/>
              <w:bottom w:w="80" w:type="dxa"/>
              <w:right w:w="80" w:type="dxa"/>
            </w:tcMar>
          </w:tcPr>
          <w:p w:rsidR="00D57D79" w:rsidRPr="00D57D79" w:rsidRDefault="007D3BDB">
            <w:pPr>
              <w:rPr>
                <w:rFonts w:ascii="Arial" w:hAnsi="Arial" w:cs="Arial"/>
                <w:b/>
              </w:rPr>
            </w:pPr>
            <w:r>
              <w:rPr>
                <w:rFonts w:ascii="Arial" w:hAnsi="Arial" w:cs="Arial"/>
                <w:b/>
              </w:rPr>
              <w:t>AC/15/20</w:t>
            </w:r>
          </w:p>
        </w:tc>
        <w:tc>
          <w:tcPr>
            <w:tcW w:w="7938" w:type="dxa"/>
            <w:gridSpan w:val="3"/>
            <w:tcBorders>
              <w:top w:val="nil"/>
              <w:left w:val="nil"/>
              <w:bottom w:val="nil"/>
              <w:right w:val="nil"/>
            </w:tcBorders>
            <w:shd w:val="clear" w:color="auto" w:fill="DBE5F1" w:themeFill="accent1" w:themeFillTint="33"/>
          </w:tcPr>
          <w:p w:rsidR="00D57D79" w:rsidRDefault="00D57D79" w:rsidP="00D57D79">
            <w:pPr>
              <w:pStyle w:val="Heading2"/>
              <w:rPr>
                <w:rFonts w:ascii="Arial" w:hAnsi="Arial"/>
                <w:sz w:val="24"/>
                <w:szCs w:val="24"/>
              </w:rPr>
            </w:pPr>
            <w:r>
              <w:rPr>
                <w:rFonts w:ascii="Arial" w:hAnsi="Arial"/>
                <w:sz w:val="24"/>
                <w:szCs w:val="24"/>
              </w:rPr>
              <w:t>Apologies for absence</w:t>
            </w:r>
          </w:p>
          <w:p w:rsidR="00D57D79" w:rsidRDefault="00D57D79"/>
        </w:tc>
      </w:tr>
      <w:tr w:rsidR="00D57D79" w:rsidTr="00531320">
        <w:trPr>
          <w:trHeight w:val="498"/>
        </w:trPr>
        <w:tc>
          <w:tcPr>
            <w:tcW w:w="9531" w:type="dxa"/>
            <w:gridSpan w:val="4"/>
            <w:tcBorders>
              <w:top w:val="nil"/>
              <w:left w:val="nil"/>
              <w:bottom w:val="nil"/>
              <w:right w:val="nil"/>
            </w:tcBorders>
            <w:shd w:val="clear" w:color="auto" w:fill="auto"/>
            <w:tcMar>
              <w:top w:w="80" w:type="dxa"/>
              <w:left w:w="80" w:type="dxa"/>
              <w:bottom w:w="80" w:type="dxa"/>
              <w:right w:w="80" w:type="dxa"/>
            </w:tcMar>
          </w:tcPr>
          <w:p w:rsidR="00D57D79" w:rsidRPr="0052761A" w:rsidRDefault="00763E49">
            <w:pPr>
              <w:pStyle w:val="Body"/>
              <w:rPr>
                <w:rFonts w:ascii="Arial" w:hAnsi="Arial"/>
                <w:sz w:val="24"/>
                <w:szCs w:val="24"/>
                <w:lang w:val="en-US"/>
              </w:rPr>
            </w:pPr>
            <w:r>
              <w:rPr>
                <w:rFonts w:ascii="Arial" w:hAnsi="Arial"/>
                <w:sz w:val="24"/>
                <w:szCs w:val="24"/>
                <w:lang w:val="en-US"/>
              </w:rPr>
              <w:t>There were no a</w:t>
            </w:r>
            <w:r w:rsidR="00D57D79">
              <w:rPr>
                <w:rFonts w:ascii="Arial" w:hAnsi="Arial"/>
                <w:sz w:val="24"/>
                <w:szCs w:val="24"/>
                <w:lang w:val="en-US"/>
              </w:rPr>
              <w:t>pologies</w:t>
            </w:r>
            <w:r>
              <w:rPr>
                <w:rFonts w:ascii="Arial" w:hAnsi="Arial"/>
                <w:sz w:val="24"/>
                <w:szCs w:val="24"/>
                <w:lang w:val="en-US"/>
              </w:rPr>
              <w:t xml:space="preserve"> for absence.</w:t>
            </w:r>
          </w:p>
        </w:tc>
      </w:tr>
      <w:tr w:rsidR="00D57D79" w:rsidTr="00763E49">
        <w:trPr>
          <w:trHeight w:val="439"/>
        </w:trPr>
        <w:tc>
          <w:tcPr>
            <w:tcW w:w="1593" w:type="dxa"/>
            <w:tcBorders>
              <w:top w:val="nil"/>
              <w:left w:val="nil"/>
              <w:bottom w:val="nil"/>
              <w:right w:val="nil"/>
            </w:tcBorders>
            <w:shd w:val="clear" w:color="auto" w:fill="DBE5F1" w:themeFill="accent1" w:themeFillTint="33"/>
            <w:tcMar>
              <w:top w:w="80" w:type="dxa"/>
              <w:left w:w="80" w:type="dxa"/>
              <w:bottom w:w="80" w:type="dxa"/>
              <w:right w:w="80" w:type="dxa"/>
            </w:tcMar>
          </w:tcPr>
          <w:p w:rsidR="00D57D79" w:rsidRPr="00D57D79" w:rsidRDefault="007D3BDB">
            <w:pPr>
              <w:pStyle w:val="Body"/>
              <w:rPr>
                <w:rFonts w:ascii="Arial" w:hAnsi="Arial"/>
                <w:b/>
                <w:sz w:val="24"/>
                <w:szCs w:val="24"/>
                <w:lang w:val="en-US"/>
              </w:rPr>
            </w:pPr>
            <w:r>
              <w:rPr>
                <w:rFonts w:ascii="Arial" w:hAnsi="Arial"/>
                <w:b/>
                <w:sz w:val="24"/>
                <w:szCs w:val="24"/>
                <w:lang w:val="en-US"/>
              </w:rPr>
              <w:t>AC/16/20</w:t>
            </w:r>
          </w:p>
        </w:tc>
        <w:tc>
          <w:tcPr>
            <w:tcW w:w="7938" w:type="dxa"/>
            <w:gridSpan w:val="3"/>
            <w:tcBorders>
              <w:top w:val="nil"/>
              <w:left w:val="nil"/>
              <w:bottom w:val="nil"/>
              <w:right w:val="nil"/>
            </w:tcBorders>
            <w:shd w:val="clear" w:color="auto" w:fill="DBE5F1" w:themeFill="accent1" w:themeFillTint="33"/>
          </w:tcPr>
          <w:p w:rsidR="00D57D79" w:rsidRPr="00763E49" w:rsidRDefault="00D57D79" w:rsidP="00763E49">
            <w:pPr>
              <w:pStyle w:val="Body"/>
              <w:spacing w:after="0" w:line="240" w:lineRule="auto"/>
              <w:rPr>
                <w:rFonts w:ascii="Arial" w:eastAsia="Arial" w:hAnsi="Arial" w:cs="Arial"/>
                <w:b/>
                <w:bCs/>
                <w:sz w:val="24"/>
                <w:szCs w:val="24"/>
              </w:rPr>
            </w:pPr>
            <w:r>
              <w:rPr>
                <w:rFonts w:ascii="Arial" w:hAnsi="Arial"/>
                <w:b/>
                <w:bCs/>
                <w:sz w:val="24"/>
                <w:szCs w:val="24"/>
                <w:lang w:val="en-US"/>
              </w:rPr>
              <w:t>Declarations of Interest</w:t>
            </w:r>
          </w:p>
        </w:tc>
      </w:tr>
      <w:tr w:rsidR="00D57D79" w:rsidTr="007B2E95">
        <w:trPr>
          <w:trHeight w:val="578"/>
        </w:trPr>
        <w:tc>
          <w:tcPr>
            <w:tcW w:w="9531" w:type="dxa"/>
            <w:gridSpan w:val="4"/>
            <w:tcBorders>
              <w:top w:val="nil"/>
              <w:left w:val="nil"/>
              <w:bottom w:val="nil"/>
              <w:right w:val="nil"/>
            </w:tcBorders>
            <w:shd w:val="clear" w:color="auto" w:fill="auto"/>
            <w:tcMar>
              <w:top w:w="80" w:type="dxa"/>
              <w:left w:w="80" w:type="dxa"/>
              <w:bottom w:w="80" w:type="dxa"/>
              <w:right w:w="80" w:type="dxa"/>
            </w:tcMar>
          </w:tcPr>
          <w:p w:rsidR="00D57D79" w:rsidRDefault="00D57D79">
            <w:pPr>
              <w:pStyle w:val="Body"/>
              <w:spacing w:after="0" w:line="240" w:lineRule="auto"/>
            </w:pPr>
            <w:r>
              <w:rPr>
                <w:rFonts w:ascii="Arial" w:hAnsi="Arial"/>
                <w:sz w:val="24"/>
                <w:szCs w:val="24"/>
                <w:lang w:val="en-US"/>
              </w:rPr>
              <w:t>There were no declarations of interest relevant to the matters on the agenda.</w:t>
            </w:r>
          </w:p>
        </w:tc>
      </w:tr>
      <w:tr w:rsidR="00D57D79" w:rsidTr="00763E49">
        <w:trPr>
          <w:trHeight w:val="586"/>
        </w:trPr>
        <w:tc>
          <w:tcPr>
            <w:tcW w:w="1593" w:type="dxa"/>
            <w:tcBorders>
              <w:top w:val="nil"/>
              <w:left w:val="nil"/>
              <w:bottom w:val="nil"/>
              <w:right w:val="nil"/>
            </w:tcBorders>
            <w:shd w:val="clear" w:color="auto" w:fill="DBE5F1" w:themeFill="accent1" w:themeFillTint="33"/>
            <w:tcMar>
              <w:top w:w="80" w:type="dxa"/>
              <w:left w:w="80" w:type="dxa"/>
              <w:bottom w:w="80" w:type="dxa"/>
              <w:right w:w="80" w:type="dxa"/>
            </w:tcMar>
          </w:tcPr>
          <w:p w:rsidR="00D57D79" w:rsidRPr="00D57D79" w:rsidRDefault="007D3BDB">
            <w:pPr>
              <w:pStyle w:val="Body"/>
              <w:spacing w:after="0" w:line="240" w:lineRule="auto"/>
              <w:rPr>
                <w:rFonts w:ascii="Arial" w:hAnsi="Arial"/>
                <w:b/>
                <w:sz w:val="24"/>
                <w:szCs w:val="24"/>
                <w:lang w:val="en-US"/>
              </w:rPr>
            </w:pPr>
            <w:r>
              <w:rPr>
                <w:rFonts w:ascii="Arial" w:hAnsi="Arial"/>
                <w:b/>
                <w:sz w:val="24"/>
                <w:szCs w:val="24"/>
                <w:lang w:val="en-US"/>
              </w:rPr>
              <w:t>AC/17/20</w:t>
            </w:r>
          </w:p>
        </w:tc>
        <w:tc>
          <w:tcPr>
            <w:tcW w:w="7938" w:type="dxa"/>
            <w:gridSpan w:val="3"/>
            <w:tcBorders>
              <w:top w:val="nil"/>
              <w:left w:val="nil"/>
              <w:bottom w:val="nil"/>
              <w:right w:val="nil"/>
            </w:tcBorders>
            <w:shd w:val="clear" w:color="auto" w:fill="DBE5F1" w:themeFill="accent1" w:themeFillTint="33"/>
          </w:tcPr>
          <w:p w:rsidR="00D57D79" w:rsidRPr="00763E49" w:rsidRDefault="00D57D79">
            <w:pPr>
              <w:pStyle w:val="Body"/>
              <w:spacing w:after="0" w:line="240" w:lineRule="auto"/>
              <w:rPr>
                <w:rFonts w:ascii="Arial" w:eastAsia="Arial" w:hAnsi="Arial" w:cs="Arial"/>
                <w:b/>
                <w:bCs/>
                <w:sz w:val="24"/>
                <w:szCs w:val="24"/>
              </w:rPr>
            </w:pPr>
            <w:r w:rsidRPr="005D41E5">
              <w:rPr>
                <w:rFonts w:ascii="Arial" w:hAnsi="Arial" w:cs="Arial"/>
                <w:b/>
                <w:bCs/>
                <w:sz w:val="24"/>
                <w:szCs w:val="24"/>
                <w:lang w:val="en-US"/>
              </w:rPr>
              <w:t>Matters arising not</w:t>
            </w:r>
            <w:r w:rsidR="00763E49">
              <w:rPr>
                <w:rFonts w:ascii="Arial" w:hAnsi="Arial" w:cs="Arial"/>
                <w:b/>
                <w:bCs/>
                <w:sz w:val="24"/>
                <w:szCs w:val="24"/>
                <w:lang w:val="en-US"/>
              </w:rPr>
              <w:t xml:space="preserve"> covered elsewhere on the agenda</w:t>
            </w:r>
          </w:p>
        </w:tc>
      </w:tr>
      <w:tr w:rsidR="00171FA8" w:rsidTr="007B2E95">
        <w:trPr>
          <w:trHeight w:val="504"/>
        </w:trPr>
        <w:tc>
          <w:tcPr>
            <w:tcW w:w="9531" w:type="dxa"/>
            <w:gridSpan w:val="4"/>
            <w:tcBorders>
              <w:top w:val="nil"/>
              <w:left w:val="nil"/>
              <w:bottom w:val="nil"/>
              <w:right w:val="nil"/>
            </w:tcBorders>
            <w:shd w:val="clear" w:color="auto" w:fill="auto"/>
            <w:tcMar>
              <w:top w:w="80" w:type="dxa"/>
              <w:left w:w="80" w:type="dxa"/>
              <w:bottom w:w="80" w:type="dxa"/>
              <w:right w:w="80" w:type="dxa"/>
            </w:tcMar>
          </w:tcPr>
          <w:p w:rsidR="00171FA8" w:rsidRPr="007B2E95" w:rsidRDefault="00763E49" w:rsidP="0071565F">
            <w:pPr>
              <w:pStyle w:val="Body"/>
              <w:spacing w:after="0" w:line="240" w:lineRule="auto"/>
              <w:rPr>
                <w:rFonts w:ascii="Arial" w:hAnsi="Arial" w:cs="Arial"/>
                <w:sz w:val="24"/>
                <w:szCs w:val="24"/>
                <w:lang w:val="en-US"/>
              </w:rPr>
            </w:pPr>
            <w:r>
              <w:rPr>
                <w:rFonts w:ascii="Arial" w:hAnsi="Arial" w:cs="Arial"/>
                <w:sz w:val="24"/>
                <w:szCs w:val="24"/>
                <w:lang w:val="en-US"/>
              </w:rPr>
              <w:t>Members and participants introduced themsel</w:t>
            </w:r>
            <w:r w:rsidR="0090330C">
              <w:rPr>
                <w:rFonts w:ascii="Arial" w:hAnsi="Arial" w:cs="Arial"/>
                <w:sz w:val="24"/>
                <w:szCs w:val="24"/>
                <w:lang w:val="en-US"/>
              </w:rPr>
              <w:t>ves.</w:t>
            </w:r>
          </w:p>
        </w:tc>
      </w:tr>
      <w:tr w:rsidR="00D57D79" w:rsidTr="0090330C">
        <w:trPr>
          <w:trHeight w:val="593"/>
        </w:trPr>
        <w:tc>
          <w:tcPr>
            <w:tcW w:w="1668" w:type="dxa"/>
            <w:gridSpan w:val="2"/>
            <w:tcBorders>
              <w:top w:val="nil"/>
              <w:left w:val="nil"/>
              <w:bottom w:val="nil"/>
              <w:right w:val="nil"/>
            </w:tcBorders>
            <w:shd w:val="clear" w:color="auto" w:fill="DBE5F1" w:themeFill="accent1" w:themeFillTint="33"/>
            <w:tcMar>
              <w:top w:w="80" w:type="dxa"/>
              <w:left w:w="80" w:type="dxa"/>
              <w:bottom w:w="80" w:type="dxa"/>
              <w:right w:w="80" w:type="dxa"/>
            </w:tcMar>
          </w:tcPr>
          <w:p w:rsidR="00D57D79" w:rsidRPr="00171FA8" w:rsidRDefault="007D3BDB">
            <w:pPr>
              <w:pStyle w:val="Body"/>
              <w:spacing w:after="0" w:line="240" w:lineRule="auto"/>
              <w:rPr>
                <w:rFonts w:ascii="Arial" w:hAnsi="Arial" w:cs="Arial"/>
                <w:b/>
                <w:sz w:val="24"/>
                <w:szCs w:val="24"/>
              </w:rPr>
            </w:pPr>
            <w:r>
              <w:rPr>
                <w:rFonts w:ascii="Arial" w:hAnsi="Arial" w:cs="Arial"/>
                <w:b/>
                <w:sz w:val="24"/>
                <w:szCs w:val="24"/>
              </w:rPr>
              <w:t>AC/18/20</w:t>
            </w:r>
          </w:p>
        </w:tc>
        <w:tc>
          <w:tcPr>
            <w:tcW w:w="7863" w:type="dxa"/>
            <w:gridSpan w:val="2"/>
            <w:tcBorders>
              <w:top w:val="nil"/>
              <w:left w:val="nil"/>
              <w:bottom w:val="nil"/>
              <w:right w:val="nil"/>
            </w:tcBorders>
            <w:shd w:val="clear" w:color="auto" w:fill="DBE5F1" w:themeFill="accent1" w:themeFillTint="33"/>
            <w:tcMar>
              <w:top w:w="80" w:type="dxa"/>
              <w:left w:w="80" w:type="dxa"/>
              <w:bottom w:w="80" w:type="dxa"/>
              <w:right w:w="80" w:type="dxa"/>
            </w:tcMar>
          </w:tcPr>
          <w:p w:rsidR="00D57D79" w:rsidRPr="0090330C" w:rsidRDefault="00A31BA2" w:rsidP="00C16265">
            <w:pPr>
              <w:pStyle w:val="Body"/>
              <w:spacing w:after="0" w:line="240" w:lineRule="auto"/>
              <w:rPr>
                <w:rFonts w:ascii="Arial" w:hAnsi="Arial" w:cs="Arial"/>
                <w:b/>
                <w:sz w:val="24"/>
                <w:szCs w:val="24"/>
                <w:lang w:val="en-US"/>
              </w:rPr>
            </w:pPr>
            <w:r w:rsidRPr="0090330C">
              <w:rPr>
                <w:rFonts w:ascii="Arial" w:hAnsi="Arial" w:cs="Arial"/>
                <w:b/>
                <w:sz w:val="24"/>
                <w:szCs w:val="24"/>
                <w:lang w:val="en-US"/>
              </w:rPr>
              <w:t>Internal Audit recommendations</w:t>
            </w:r>
          </w:p>
        </w:tc>
      </w:tr>
      <w:tr w:rsidR="00171FA8" w:rsidTr="00736AC7">
        <w:trPr>
          <w:trHeight w:val="629"/>
        </w:trPr>
        <w:tc>
          <w:tcPr>
            <w:tcW w:w="9531" w:type="dxa"/>
            <w:gridSpan w:val="4"/>
            <w:tcBorders>
              <w:top w:val="nil"/>
              <w:left w:val="nil"/>
              <w:bottom w:val="nil"/>
              <w:right w:val="nil"/>
            </w:tcBorders>
            <w:shd w:val="clear" w:color="auto" w:fill="auto"/>
            <w:tcMar>
              <w:top w:w="80" w:type="dxa"/>
              <w:left w:w="80" w:type="dxa"/>
              <w:bottom w:w="80" w:type="dxa"/>
              <w:right w:w="80" w:type="dxa"/>
            </w:tcMar>
          </w:tcPr>
          <w:p w:rsidR="00171FA8" w:rsidRDefault="00B20B69" w:rsidP="001B7429">
            <w:pPr>
              <w:pStyle w:val="Body"/>
              <w:spacing w:after="0" w:line="240" w:lineRule="auto"/>
              <w:rPr>
                <w:rFonts w:ascii="Arial" w:hAnsi="Arial" w:cs="Arial"/>
                <w:bCs/>
                <w:sz w:val="24"/>
                <w:szCs w:val="24"/>
                <w:lang w:val="en-US"/>
              </w:rPr>
            </w:pPr>
            <w:r>
              <w:rPr>
                <w:rFonts w:ascii="Arial" w:hAnsi="Arial" w:cs="Arial"/>
                <w:bCs/>
                <w:sz w:val="24"/>
                <w:szCs w:val="24"/>
                <w:lang w:val="en-US"/>
              </w:rPr>
              <w:t xml:space="preserve">The </w:t>
            </w:r>
            <w:r w:rsidR="0090330C">
              <w:rPr>
                <w:rFonts w:ascii="Arial" w:hAnsi="Arial" w:cs="Arial"/>
                <w:bCs/>
                <w:sz w:val="24"/>
                <w:szCs w:val="24"/>
                <w:lang w:val="en-US"/>
              </w:rPr>
              <w:t xml:space="preserve">Executive </w:t>
            </w:r>
            <w:r>
              <w:rPr>
                <w:rFonts w:ascii="Arial" w:hAnsi="Arial" w:cs="Arial"/>
                <w:bCs/>
                <w:sz w:val="24"/>
                <w:szCs w:val="24"/>
                <w:lang w:val="en-US"/>
              </w:rPr>
              <w:t>Director of F</w:t>
            </w:r>
            <w:r w:rsidR="0090330C">
              <w:rPr>
                <w:rFonts w:ascii="Arial" w:hAnsi="Arial" w:cs="Arial"/>
                <w:bCs/>
                <w:sz w:val="24"/>
                <w:szCs w:val="24"/>
                <w:lang w:val="en-US"/>
              </w:rPr>
              <w:t>inance</w:t>
            </w:r>
            <w:r>
              <w:rPr>
                <w:rFonts w:ascii="Arial" w:hAnsi="Arial" w:cs="Arial"/>
                <w:bCs/>
                <w:sz w:val="24"/>
                <w:szCs w:val="24"/>
                <w:lang w:val="en-US"/>
              </w:rPr>
              <w:t xml:space="preserve"> introduced the report and </w:t>
            </w:r>
            <w:r w:rsidR="0090330C">
              <w:rPr>
                <w:rFonts w:ascii="Arial" w:hAnsi="Arial" w:cs="Arial"/>
                <w:bCs/>
                <w:sz w:val="24"/>
                <w:szCs w:val="24"/>
                <w:lang w:val="en-US"/>
              </w:rPr>
              <w:t xml:space="preserve">outlined </w:t>
            </w:r>
            <w:r>
              <w:rPr>
                <w:rFonts w:ascii="Arial" w:hAnsi="Arial" w:cs="Arial"/>
                <w:bCs/>
                <w:sz w:val="24"/>
                <w:szCs w:val="24"/>
                <w:lang w:val="en-US"/>
              </w:rPr>
              <w:t>the process of logging the recommendations made by the Internal Auditors and the</w:t>
            </w:r>
            <w:r w:rsidR="0090330C">
              <w:rPr>
                <w:rFonts w:ascii="Arial" w:hAnsi="Arial" w:cs="Arial"/>
                <w:bCs/>
                <w:sz w:val="24"/>
                <w:szCs w:val="24"/>
                <w:lang w:val="en-US"/>
              </w:rPr>
              <w:t>n</w:t>
            </w:r>
            <w:r>
              <w:rPr>
                <w:rFonts w:ascii="Arial" w:hAnsi="Arial" w:cs="Arial"/>
                <w:bCs/>
                <w:sz w:val="24"/>
                <w:szCs w:val="24"/>
                <w:lang w:val="en-US"/>
              </w:rPr>
              <w:t xml:space="preserve"> reporting </w:t>
            </w:r>
            <w:r w:rsidR="0090330C">
              <w:rPr>
                <w:rFonts w:ascii="Arial" w:hAnsi="Arial" w:cs="Arial"/>
                <w:bCs/>
                <w:sz w:val="24"/>
                <w:szCs w:val="24"/>
                <w:lang w:val="en-US"/>
              </w:rPr>
              <w:t>to the Committee on</w:t>
            </w:r>
            <w:r>
              <w:rPr>
                <w:rFonts w:ascii="Arial" w:hAnsi="Arial" w:cs="Arial"/>
                <w:bCs/>
                <w:sz w:val="24"/>
                <w:szCs w:val="24"/>
                <w:lang w:val="en-US"/>
              </w:rPr>
              <w:t xml:space="preserve"> medium and high risk items.</w:t>
            </w:r>
          </w:p>
          <w:p w:rsidR="00B20B69" w:rsidRDefault="00B20B69" w:rsidP="001B7429">
            <w:pPr>
              <w:pStyle w:val="Body"/>
              <w:spacing w:after="0" w:line="240" w:lineRule="auto"/>
              <w:rPr>
                <w:rFonts w:ascii="Arial" w:hAnsi="Arial" w:cs="Arial"/>
                <w:bCs/>
                <w:sz w:val="24"/>
                <w:szCs w:val="24"/>
                <w:lang w:val="en-US"/>
              </w:rPr>
            </w:pPr>
          </w:p>
          <w:p w:rsidR="00B20B69" w:rsidRDefault="0090330C" w:rsidP="001B7429">
            <w:pPr>
              <w:pStyle w:val="Body"/>
              <w:spacing w:after="0" w:line="240" w:lineRule="auto"/>
              <w:rPr>
                <w:rFonts w:ascii="Arial" w:hAnsi="Arial" w:cs="Arial"/>
                <w:bCs/>
                <w:sz w:val="24"/>
                <w:szCs w:val="24"/>
                <w:lang w:val="en-US"/>
              </w:rPr>
            </w:pPr>
            <w:r>
              <w:rPr>
                <w:rFonts w:ascii="Arial" w:hAnsi="Arial" w:cs="Arial"/>
                <w:bCs/>
                <w:sz w:val="24"/>
                <w:szCs w:val="24"/>
                <w:lang w:val="en-US"/>
              </w:rPr>
              <w:t xml:space="preserve">One part of a two part recommendation remains outstanding and </w:t>
            </w:r>
            <w:r w:rsidR="00B20B69">
              <w:rPr>
                <w:rFonts w:ascii="Arial" w:hAnsi="Arial" w:cs="Arial"/>
                <w:bCs/>
                <w:sz w:val="24"/>
                <w:szCs w:val="24"/>
                <w:lang w:val="en-US"/>
              </w:rPr>
              <w:t xml:space="preserve">relates to </w:t>
            </w:r>
            <w:r>
              <w:rPr>
                <w:rFonts w:ascii="Arial" w:hAnsi="Arial" w:cs="Arial"/>
                <w:bCs/>
                <w:sz w:val="24"/>
                <w:szCs w:val="24"/>
                <w:lang w:val="en-US"/>
              </w:rPr>
              <w:t>the Procurement S</w:t>
            </w:r>
            <w:r w:rsidR="00B20B69">
              <w:rPr>
                <w:rFonts w:ascii="Arial" w:hAnsi="Arial" w:cs="Arial"/>
                <w:bCs/>
                <w:sz w:val="24"/>
                <w:szCs w:val="24"/>
                <w:lang w:val="en-US"/>
              </w:rPr>
              <w:t xml:space="preserve">trategy. </w:t>
            </w:r>
            <w:r>
              <w:rPr>
                <w:rFonts w:ascii="Arial" w:hAnsi="Arial" w:cs="Arial"/>
                <w:bCs/>
                <w:sz w:val="24"/>
                <w:szCs w:val="24"/>
                <w:lang w:val="en-US"/>
              </w:rPr>
              <w:t xml:space="preserve">Although it was considered </w:t>
            </w:r>
            <w:r w:rsidR="00B20B69">
              <w:rPr>
                <w:rFonts w:ascii="Arial" w:hAnsi="Arial" w:cs="Arial"/>
                <w:bCs/>
                <w:sz w:val="24"/>
                <w:szCs w:val="24"/>
                <w:lang w:val="en-US"/>
              </w:rPr>
              <w:t>advisory</w:t>
            </w:r>
            <w:r>
              <w:rPr>
                <w:rFonts w:ascii="Arial" w:hAnsi="Arial" w:cs="Arial"/>
                <w:bCs/>
                <w:sz w:val="24"/>
                <w:szCs w:val="24"/>
                <w:lang w:val="en-US"/>
              </w:rPr>
              <w:t xml:space="preserve"> and might add value in due course, it is not considered a priority and will require a further appointment into the Finance Team. </w:t>
            </w:r>
          </w:p>
          <w:p w:rsidR="0090330C" w:rsidRDefault="0090330C" w:rsidP="001B7429">
            <w:pPr>
              <w:pStyle w:val="Body"/>
              <w:spacing w:after="0" w:line="240" w:lineRule="auto"/>
              <w:rPr>
                <w:rFonts w:ascii="Arial" w:hAnsi="Arial" w:cs="Arial"/>
                <w:bCs/>
                <w:sz w:val="24"/>
                <w:szCs w:val="24"/>
                <w:lang w:val="en-US"/>
              </w:rPr>
            </w:pPr>
          </w:p>
          <w:p w:rsidR="0090330C" w:rsidRPr="00736AC7" w:rsidRDefault="00B20B69" w:rsidP="0090330C">
            <w:pPr>
              <w:pStyle w:val="Body"/>
              <w:spacing w:after="0" w:line="240" w:lineRule="auto"/>
              <w:rPr>
                <w:rFonts w:ascii="Arial" w:hAnsi="Arial" w:cs="Arial"/>
                <w:b/>
                <w:bCs/>
                <w:i/>
                <w:sz w:val="24"/>
                <w:szCs w:val="24"/>
                <w:lang w:val="en-US"/>
              </w:rPr>
            </w:pPr>
            <w:r>
              <w:rPr>
                <w:rFonts w:ascii="Arial" w:hAnsi="Arial" w:cs="Arial"/>
                <w:bCs/>
                <w:sz w:val="24"/>
                <w:szCs w:val="24"/>
                <w:lang w:val="en-US"/>
              </w:rPr>
              <w:t xml:space="preserve">The Committee was keen that the </w:t>
            </w:r>
            <w:r w:rsidR="0090330C">
              <w:rPr>
                <w:rFonts w:ascii="Arial" w:hAnsi="Arial" w:cs="Arial"/>
                <w:bCs/>
                <w:sz w:val="24"/>
                <w:szCs w:val="24"/>
                <w:lang w:val="en-US"/>
              </w:rPr>
              <w:t xml:space="preserve">potential for a more advanced </w:t>
            </w:r>
            <w:r>
              <w:rPr>
                <w:rFonts w:ascii="Arial" w:hAnsi="Arial" w:cs="Arial"/>
                <w:bCs/>
                <w:sz w:val="24"/>
                <w:szCs w:val="24"/>
                <w:lang w:val="en-US"/>
              </w:rPr>
              <w:t xml:space="preserve">strategy </w:t>
            </w:r>
            <w:r w:rsidR="0090330C">
              <w:rPr>
                <w:rFonts w:ascii="Arial" w:hAnsi="Arial" w:cs="Arial"/>
                <w:bCs/>
                <w:sz w:val="24"/>
                <w:szCs w:val="24"/>
                <w:lang w:val="en-US"/>
              </w:rPr>
              <w:t xml:space="preserve">dealing with pricing, savings etc. </w:t>
            </w:r>
            <w:r>
              <w:rPr>
                <w:rFonts w:ascii="Arial" w:hAnsi="Arial" w:cs="Arial"/>
                <w:bCs/>
                <w:sz w:val="24"/>
                <w:szCs w:val="24"/>
                <w:lang w:val="en-US"/>
              </w:rPr>
              <w:t>is not lost sight o</w:t>
            </w:r>
            <w:r w:rsidR="0090330C">
              <w:rPr>
                <w:rFonts w:ascii="Arial" w:hAnsi="Arial" w:cs="Arial"/>
                <w:bCs/>
                <w:sz w:val="24"/>
                <w:szCs w:val="24"/>
                <w:lang w:val="en-US"/>
              </w:rPr>
              <w:t>f. The College will look</w:t>
            </w:r>
            <w:r>
              <w:rPr>
                <w:rFonts w:ascii="Arial" w:hAnsi="Arial" w:cs="Arial"/>
                <w:bCs/>
                <w:sz w:val="24"/>
                <w:szCs w:val="24"/>
                <w:lang w:val="en-US"/>
              </w:rPr>
              <w:t xml:space="preserve"> at technological advancement</w:t>
            </w:r>
            <w:r w:rsidR="0090330C">
              <w:rPr>
                <w:rFonts w:ascii="Arial" w:hAnsi="Arial" w:cs="Arial"/>
                <w:bCs/>
                <w:sz w:val="24"/>
                <w:szCs w:val="24"/>
                <w:lang w:val="en-US"/>
              </w:rPr>
              <w:t xml:space="preserve">s in defining the new strategy </w:t>
            </w:r>
            <w:r w:rsidR="00736AC7">
              <w:rPr>
                <w:rFonts w:ascii="Arial" w:hAnsi="Arial" w:cs="Arial"/>
                <w:bCs/>
                <w:sz w:val="24"/>
                <w:szCs w:val="24"/>
                <w:lang w:val="en-US"/>
              </w:rPr>
              <w:t xml:space="preserve">and processes </w:t>
            </w:r>
            <w:r w:rsidR="0090330C">
              <w:rPr>
                <w:rFonts w:ascii="Arial" w:hAnsi="Arial" w:cs="Arial"/>
                <w:bCs/>
                <w:sz w:val="24"/>
                <w:szCs w:val="24"/>
                <w:lang w:val="en-US"/>
              </w:rPr>
              <w:t xml:space="preserve">and </w:t>
            </w:r>
            <w:r w:rsidR="0090330C" w:rsidRPr="00736AC7">
              <w:rPr>
                <w:rFonts w:ascii="Arial" w:hAnsi="Arial" w:cs="Arial"/>
                <w:b/>
                <w:bCs/>
                <w:i/>
                <w:sz w:val="24"/>
                <w:szCs w:val="24"/>
                <w:lang w:val="en-US"/>
              </w:rPr>
              <w:t>July 2021 was considered reasonable as the revised deadline.</w:t>
            </w:r>
          </w:p>
          <w:p w:rsidR="00B20B69" w:rsidRPr="00736AC7" w:rsidRDefault="00736AC7" w:rsidP="00736AC7">
            <w:pPr>
              <w:pStyle w:val="Body"/>
              <w:spacing w:after="0" w:line="240" w:lineRule="auto"/>
              <w:rPr>
                <w:rFonts w:ascii="Arial" w:hAnsi="Arial" w:cs="Arial"/>
                <w:b/>
                <w:bCs/>
                <w:sz w:val="24"/>
                <w:szCs w:val="24"/>
                <w:lang w:val="en-US"/>
              </w:rPr>
            </w:pPr>
            <w:r w:rsidRPr="00736AC7">
              <w:rPr>
                <w:rFonts w:ascii="Arial" w:hAnsi="Arial" w:cs="Arial"/>
                <w:b/>
                <w:bCs/>
                <w:sz w:val="24"/>
                <w:szCs w:val="24"/>
                <w:lang w:val="en-US"/>
              </w:rPr>
              <w:lastRenderedPageBreak/>
              <w:t>The report was noted.</w:t>
            </w:r>
          </w:p>
        </w:tc>
      </w:tr>
      <w:tr w:rsidR="00171FA8" w:rsidTr="00171FA8">
        <w:trPr>
          <w:trHeight w:val="576"/>
        </w:trPr>
        <w:tc>
          <w:tcPr>
            <w:tcW w:w="1668" w:type="dxa"/>
            <w:gridSpan w:val="2"/>
            <w:tcBorders>
              <w:top w:val="nil"/>
              <w:left w:val="nil"/>
              <w:bottom w:val="nil"/>
              <w:right w:val="nil"/>
            </w:tcBorders>
            <w:shd w:val="clear" w:color="auto" w:fill="DBE5F1" w:themeFill="accent1" w:themeFillTint="33"/>
            <w:tcMar>
              <w:top w:w="80" w:type="dxa"/>
              <w:left w:w="80" w:type="dxa"/>
              <w:bottom w:w="80" w:type="dxa"/>
              <w:right w:w="80" w:type="dxa"/>
            </w:tcMar>
          </w:tcPr>
          <w:p w:rsidR="00171FA8" w:rsidRPr="005D41E5" w:rsidRDefault="007D3BDB">
            <w:pPr>
              <w:pStyle w:val="Body"/>
              <w:spacing w:after="0" w:line="240" w:lineRule="auto"/>
              <w:rPr>
                <w:rFonts w:ascii="Arial" w:hAnsi="Arial" w:cs="Arial"/>
                <w:b/>
                <w:bCs/>
                <w:sz w:val="24"/>
                <w:szCs w:val="24"/>
                <w:lang w:val="en-US"/>
              </w:rPr>
            </w:pPr>
            <w:r>
              <w:rPr>
                <w:rFonts w:ascii="Arial" w:hAnsi="Arial" w:cs="Arial"/>
                <w:b/>
                <w:bCs/>
                <w:sz w:val="24"/>
                <w:szCs w:val="24"/>
                <w:lang w:val="en-US"/>
              </w:rPr>
              <w:lastRenderedPageBreak/>
              <w:t>AC/19/20</w:t>
            </w:r>
          </w:p>
        </w:tc>
        <w:tc>
          <w:tcPr>
            <w:tcW w:w="7863" w:type="dxa"/>
            <w:gridSpan w:val="2"/>
            <w:tcBorders>
              <w:top w:val="nil"/>
              <w:left w:val="nil"/>
              <w:bottom w:val="nil"/>
              <w:right w:val="nil"/>
            </w:tcBorders>
            <w:shd w:val="clear" w:color="auto" w:fill="DBE5F1" w:themeFill="accent1" w:themeFillTint="33"/>
            <w:tcMar>
              <w:top w:w="80" w:type="dxa"/>
              <w:left w:w="80" w:type="dxa"/>
              <w:bottom w:w="80" w:type="dxa"/>
              <w:right w:w="80" w:type="dxa"/>
            </w:tcMar>
          </w:tcPr>
          <w:p w:rsidR="00171FA8" w:rsidRPr="00171FA8" w:rsidRDefault="00A31BA2">
            <w:pPr>
              <w:pStyle w:val="Body"/>
              <w:spacing w:after="0" w:line="240" w:lineRule="auto"/>
              <w:rPr>
                <w:rFonts w:ascii="Arial" w:hAnsi="Arial" w:cs="Arial"/>
                <w:b/>
                <w:bCs/>
                <w:sz w:val="24"/>
                <w:szCs w:val="24"/>
                <w:lang w:val="en-US"/>
              </w:rPr>
            </w:pPr>
            <w:r>
              <w:rPr>
                <w:rFonts w:ascii="Arial" w:hAnsi="Arial" w:cs="Arial"/>
                <w:b/>
                <w:bCs/>
                <w:sz w:val="24"/>
                <w:szCs w:val="24"/>
                <w:lang w:val="en-US"/>
              </w:rPr>
              <w:t>Internal Audit plan 2020-2021</w:t>
            </w:r>
          </w:p>
        </w:tc>
      </w:tr>
      <w:tr w:rsidR="00171FA8" w:rsidTr="004240DE">
        <w:trPr>
          <w:trHeight w:val="1672"/>
        </w:trPr>
        <w:tc>
          <w:tcPr>
            <w:tcW w:w="9531" w:type="dxa"/>
            <w:gridSpan w:val="4"/>
            <w:tcBorders>
              <w:top w:val="nil"/>
              <w:left w:val="nil"/>
              <w:bottom w:val="nil"/>
              <w:right w:val="nil"/>
            </w:tcBorders>
            <w:shd w:val="clear" w:color="auto" w:fill="auto"/>
            <w:tcMar>
              <w:top w:w="80" w:type="dxa"/>
              <w:left w:w="80" w:type="dxa"/>
              <w:bottom w:w="80" w:type="dxa"/>
              <w:right w:w="80" w:type="dxa"/>
            </w:tcMar>
          </w:tcPr>
          <w:p w:rsidR="0008596C" w:rsidRPr="00167157" w:rsidRDefault="00B20B69" w:rsidP="00055F7E">
            <w:pPr>
              <w:pStyle w:val="Body"/>
              <w:spacing w:after="0" w:line="240" w:lineRule="auto"/>
              <w:rPr>
                <w:rFonts w:ascii="Arial" w:hAnsi="Arial" w:cs="Arial"/>
                <w:bCs/>
                <w:sz w:val="24"/>
                <w:szCs w:val="24"/>
                <w:lang w:val="en-US"/>
              </w:rPr>
            </w:pPr>
            <w:r w:rsidRPr="00167157">
              <w:rPr>
                <w:rFonts w:ascii="Arial" w:hAnsi="Arial" w:cs="Arial"/>
                <w:bCs/>
                <w:sz w:val="24"/>
                <w:szCs w:val="24"/>
                <w:lang w:val="en-US"/>
              </w:rPr>
              <w:t xml:space="preserve">An online meeting </w:t>
            </w:r>
            <w:r w:rsidR="007D3BDB" w:rsidRPr="00167157">
              <w:rPr>
                <w:rFonts w:ascii="Arial" w:hAnsi="Arial" w:cs="Arial"/>
                <w:bCs/>
                <w:sz w:val="24"/>
                <w:szCs w:val="24"/>
                <w:lang w:val="en-US"/>
              </w:rPr>
              <w:t xml:space="preserve">had taken place between the Committee Chair, the Internal Auditor, the Executive Director of Finance and the Director of </w:t>
            </w:r>
            <w:r w:rsidR="00803AA8" w:rsidRPr="00167157">
              <w:rPr>
                <w:rFonts w:ascii="Arial" w:hAnsi="Arial" w:cs="Arial"/>
                <w:bCs/>
                <w:sz w:val="24"/>
                <w:szCs w:val="24"/>
                <w:lang w:val="en-US"/>
              </w:rPr>
              <w:t>Governance</w:t>
            </w:r>
            <w:r w:rsidR="007D3BDB" w:rsidRPr="00167157">
              <w:rPr>
                <w:rFonts w:ascii="Arial" w:hAnsi="Arial" w:cs="Arial"/>
                <w:bCs/>
                <w:sz w:val="24"/>
                <w:szCs w:val="24"/>
                <w:lang w:val="en-US"/>
              </w:rPr>
              <w:t xml:space="preserve"> to discuss the draft plan.</w:t>
            </w:r>
          </w:p>
          <w:p w:rsidR="00B20B69" w:rsidRPr="00167157" w:rsidRDefault="00B20B69" w:rsidP="00055F7E">
            <w:pPr>
              <w:pStyle w:val="Body"/>
              <w:spacing w:after="0" w:line="240" w:lineRule="auto"/>
              <w:rPr>
                <w:rFonts w:ascii="Arial" w:hAnsi="Arial" w:cs="Arial"/>
                <w:bCs/>
                <w:sz w:val="24"/>
                <w:szCs w:val="24"/>
                <w:lang w:val="en-US"/>
              </w:rPr>
            </w:pPr>
          </w:p>
          <w:p w:rsidR="00B20B69" w:rsidRPr="00167157" w:rsidRDefault="00B20B69" w:rsidP="00055F7E">
            <w:pPr>
              <w:pStyle w:val="Body"/>
              <w:spacing w:after="0" w:line="240" w:lineRule="auto"/>
              <w:rPr>
                <w:rFonts w:ascii="Arial" w:hAnsi="Arial" w:cs="Arial"/>
                <w:bCs/>
                <w:sz w:val="24"/>
                <w:szCs w:val="24"/>
                <w:lang w:val="en-US"/>
              </w:rPr>
            </w:pPr>
            <w:r w:rsidRPr="00167157">
              <w:rPr>
                <w:rFonts w:ascii="Arial" w:hAnsi="Arial" w:cs="Arial"/>
                <w:bCs/>
                <w:sz w:val="24"/>
                <w:szCs w:val="24"/>
                <w:lang w:val="en-US"/>
              </w:rPr>
              <w:t xml:space="preserve">The </w:t>
            </w:r>
            <w:r w:rsidR="007D3BDB" w:rsidRPr="00167157">
              <w:rPr>
                <w:rFonts w:ascii="Arial" w:hAnsi="Arial" w:cs="Arial"/>
                <w:bCs/>
                <w:sz w:val="24"/>
                <w:szCs w:val="24"/>
                <w:lang w:val="en-US"/>
              </w:rPr>
              <w:t xml:space="preserve">updated </w:t>
            </w:r>
            <w:r w:rsidRPr="00167157">
              <w:rPr>
                <w:rFonts w:ascii="Arial" w:hAnsi="Arial" w:cs="Arial"/>
                <w:bCs/>
                <w:sz w:val="24"/>
                <w:szCs w:val="24"/>
                <w:lang w:val="en-US"/>
              </w:rPr>
              <w:t xml:space="preserve">plan was </w:t>
            </w:r>
            <w:r w:rsidR="007D3BDB" w:rsidRPr="00167157">
              <w:rPr>
                <w:rFonts w:ascii="Arial" w:hAnsi="Arial" w:cs="Arial"/>
                <w:bCs/>
                <w:sz w:val="24"/>
                <w:szCs w:val="24"/>
                <w:lang w:val="en-US"/>
              </w:rPr>
              <w:t xml:space="preserve">then introduced by the Internal Auditor. Three reviews planned for 2019-2020 are outstanding and work is taking place to manage these reviews remotely. These include a </w:t>
            </w:r>
            <w:r w:rsidRPr="00167157">
              <w:rPr>
                <w:rFonts w:ascii="Arial" w:hAnsi="Arial" w:cs="Arial"/>
                <w:bCs/>
                <w:sz w:val="24"/>
                <w:szCs w:val="24"/>
                <w:lang w:val="en-US"/>
              </w:rPr>
              <w:t xml:space="preserve">mock funding audit </w:t>
            </w:r>
            <w:r w:rsidR="007D3BDB" w:rsidRPr="00167157">
              <w:rPr>
                <w:rFonts w:ascii="Arial" w:hAnsi="Arial" w:cs="Arial"/>
                <w:bCs/>
                <w:sz w:val="24"/>
                <w:szCs w:val="24"/>
                <w:lang w:val="en-US"/>
              </w:rPr>
              <w:t>focusing</w:t>
            </w:r>
            <w:r w:rsidRPr="00167157">
              <w:rPr>
                <w:rFonts w:ascii="Arial" w:hAnsi="Arial" w:cs="Arial"/>
                <w:bCs/>
                <w:sz w:val="24"/>
                <w:szCs w:val="24"/>
                <w:lang w:val="en-US"/>
              </w:rPr>
              <w:t xml:space="preserve"> on 16-18 and adults </w:t>
            </w:r>
            <w:r w:rsidR="00C90674" w:rsidRPr="00167157">
              <w:rPr>
                <w:rFonts w:ascii="Arial" w:hAnsi="Arial" w:cs="Arial"/>
                <w:bCs/>
                <w:sz w:val="24"/>
                <w:szCs w:val="24"/>
                <w:lang w:val="en-US"/>
              </w:rPr>
              <w:t>and a review of processes around</w:t>
            </w:r>
            <w:r w:rsidRPr="00167157">
              <w:rPr>
                <w:rFonts w:ascii="Arial" w:hAnsi="Arial" w:cs="Arial"/>
                <w:bCs/>
                <w:sz w:val="24"/>
                <w:szCs w:val="24"/>
                <w:lang w:val="en-US"/>
              </w:rPr>
              <w:t xml:space="preserve"> Office for </w:t>
            </w:r>
            <w:r w:rsidR="0063273E">
              <w:rPr>
                <w:rFonts w:ascii="Arial" w:hAnsi="Arial" w:cs="Arial"/>
                <w:bCs/>
                <w:sz w:val="24"/>
                <w:szCs w:val="24"/>
                <w:lang w:val="en-US"/>
              </w:rPr>
              <w:t>S</w:t>
            </w:r>
            <w:r w:rsidRPr="00167157">
              <w:rPr>
                <w:rFonts w:ascii="Arial" w:hAnsi="Arial" w:cs="Arial"/>
                <w:bCs/>
                <w:sz w:val="24"/>
                <w:szCs w:val="24"/>
                <w:lang w:val="en-US"/>
              </w:rPr>
              <w:t>tudent</w:t>
            </w:r>
            <w:r w:rsidR="0063273E">
              <w:rPr>
                <w:rFonts w:ascii="Arial" w:hAnsi="Arial" w:cs="Arial"/>
                <w:bCs/>
                <w:sz w:val="24"/>
                <w:szCs w:val="24"/>
                <w:lang w:val="en-US"/>
              </w:rPr>
              <w:t>s</w:t>
            </w:r>
            <w:r w:rsidRPr="00167157">
              <w:rPr>
                <w:rFonts w:ascii="Arial" w:hAnsi="Arial" w:cs="Arial"/>
                <w:bCs/>
                <w:sz w:val="24"/>
                <w:szCs w:val="24"/>
                <w:lang w:val="en-US"/>
              </w:rPr>
              <w:t xml:space="preserve"> registration</w:t>
            </w:r>
            <w:r w:rsidR="00C90674" w:rsidRPr="00167157">
              <w:rPr>
                <w:rFonts w:ascii="Arial" w:hAnsi="Arial" w:cs="Arial"/>
                <w:bCs/>
                <w:sz w:val="24"/>
                <w:szCs w:val="24"/>
                <w:lang w:val="en-US"/>
              </w:rPr>
              <w:t xml:space="preserve">. Apprenticeships are not being reviewed as part of the </w:t>
            </w:r>
            <w:r w:rsidR="00167157">
              <w:rPr>
                <w:rFonts w:ascii="Arial" w:hAnsi="Arial" w:cs="Arial"/>
                <w:bCs/>
                <w:sz w:val="24"/>
                <w:szCs w:val="24"/>
                <w:lang w:val="en-US"/>
              </w:rPr>
              <w:t>mock funding review as processes are undergoing change and will be subject to a separate review at a later date.</w:t>
            </w:r>
          </w:p>
          <w:p w:rsidR="00B20B69" w:rsidRPr="00167157" w:rsidRDefault="00B20B69" w:rsidP="00055F7E">
            <w:pPr>
              <w:pStyle w:val="Body"/>
              <w:spacing w:after="0" w:line="240" w:lineRule="auto"/>
              <w:rPr>
                <w:rFonts w:ascii="Arial" w:hAnsi="Arial" w:cs="Arial"/>
                <w:bCs/>
                <w:sz w:val="24"/>
                <w:szCs w:val="24"/>
                <w:lang w:val="en-US"/>
              </w:rPr>
            </w:pPr>
          </w:p>
          <w:p w:rsidR="00B20B69" w:rsidRPr="003344D4" w:rsidRDefault="00167157" w:rsidP="00055F7E">
            <w:pPr>
              <w:pStyle w:val="Body"/>
              <w:spacing w:after="0" w:line="240" w:lineRule="auto"/>
              <w:rPr>
                <w:rFonts w:ascii="Arial" w:hAnsi="Arial" w:cs="Arial"/>
                <w:bCs/>
                <w:sz w:val="24"/>
                <w:szCs w:val="24"/>
                <w:lang w:val="en-US"/>
              </w:rPr>
            </w:pPr>
            <w:r w:rsidRPr="003344D4">
              <w:rPr>
                <w:rFonts w:ascii="Arial" w:hAnsi="Arial" w:cs="Arial"/>
                <w:bCs/>
                <w:sz w:val="24"/>
                <w:szCs w:val="24"/>
                <w:lang w:val="en-US"/>
              </w:rPr>
              <w:t xml:space="preserve">The internal audit plan for 2020-2021 was </w:t>
            </w:r>
            <w:r w:rsidR="00DF226F" w:rsidRPr="003344D4">
              <w:rPr>
                <w:rFonts w:ascii="Arial" w:hAnsi="Arial" w:cs="Arial"/>
                <w:bCs/>
                <w:sz w:val="24"/>
                <w:szCs w:val="24"/>
                <w:lang w:val="en-US"/>
              </w:rPr>
              <w:t>set out in the document</w:t>
            </w:r>
            <w:r w:rsidRPr="003344D4">
              <w:rPr>
                <w:rFonts w:ascii="Arial" w:hAnsi="Arial" w:cs="Arial"/>
                <w:bCs/>
                <w:sz w:val="24"/>
                <w:szCs w:val="24"/>
                <w:lang w:val="en-US"/>
              </w:rPr>
              <w:t xml:space="preserve"> presented and</w:t>
            </w:r>
            <w:r w:rsidR="00DF226F" w:rsidRPr="003344D4">
              <w:rPr>
                <w:rFonts w:ascii="Arial" w:hAnsi="Arial" w:cs="Arial"/>
                <w:bCs/>
                <w:sz w:val="24"/>
                <w:szCs w:val="24"/>
                <w:lang w:val="en-US"/>
              </w:rPr>
              <w:t xml:space="preserve"> attention drawn to section 3, </w:t>
            </w:r>
            <w:r w:rsidRPr="003344D4">
              <w:rPr>
                <w:rFonts w:ascii="Arial" w:hAnsi="Arial" w:cs="Arial"/>
                <w:bCs/>
                <w:sz w:val="24"/>
                <w:szCs w:val="24"/>
                <w:lang w:val="en-US"/>
              </w:rPr>
              <w:t xml:space="preserve">the annual </w:t>
            </w:r>
            <w:proofErr w:type="spellStart"/>
            <w:r w:rsidRPr="003344D4">
              <w:rPr>
                <w:rFonts w:ascii="Arial" w:hAnsi="Arial" w:cs="Arial"/>
                <w:bCs/>
                <w:sz w:val="24"/>
                <w:szCs w:val="24"/>
                <w:lang w:val="en-US"/>
              </w:rPr>
              <w:t>organisational</w:t>
            </w:r>
            <w:proofErr w:type="spellEnd"/>
            <w:r w:rsidRPr="003344D4">
              <w:rPr>
                <w:rFonts w:ascii="Arial" w:hAnsi="Arial" w:cs="Arial"/>
                <w:bCs/>
                <w:sz w:val="24"/>
                <w:szCs w:val="24"/>
                <w:lang w:val="en-US"/>
              </w:rPr>
              <w:t xml:space="preserve"> assessment and section 4 the plan itself.</w:t>
            </w:r>
            <w:r w:rsidR="00DF226F" w:rsidRPr="003344D4">
              <w:rPr>
                <w:rFonts w:ascii="Arial" w:hAnsi="Arial" w:cs="Arial"/>
                <w:bCs/>
                <w:sz w:val="24"/>
                <w:szCs w:val="24"/>
                <w:lang w:val="en-US"/>
              </w:rPr>
              <w:t xml:space="preserve"> </w:t>
            </w:r>
          </w:p>
          <w:p w:rsidR="00DF226F" w:rsidRPr="003344D4" w:rsidRDefault="00DF226F" w:rsidP="00055F7E">
            <w:pPr>
              <w:pStyle w:val="Body"/>
              <w:spacing w:after="0" w:line="240" w:lineRule="auto"/>
              <w:rPr>
                <w:rFonts w:ascii="Arial" w:hAnsi="Arial" w:cs="Arial"/>
                <w:bCs/>
                <w:sz w:val="24"/>
                <w:szCs w:val="24"/>
                <w:lang w:val="en-US"/>
              </w:rPr>
            </w:pPr>
          </w:p>
          <w:p w:rsidR="00DF226F" w:rsidRPr="003344D4" w:rsidRDefault="00167157" w:rsidP="00055F7E">
            <w:pPr>
              <w:pStyle w:val="Body"/>
              <w:spacing w:after="0" w:line="240" w:lineRule="auto"/>
              <w:rPr>
                <w:rFonts w:ascii="Arial" w:hAnsi="Arial" w:cs="Arial"/>
                <w:bCs/>
                <w:sz w:val="24"/>
                <w:szCs w:val="24"/>
                <w:lang w:val="en-US"/>
              </w:rPr>
            </w:pPr>
            <w:r w:rsidRPr="003344D4">
              <w:rPr>
                <w:rFonts w:ascii="Arial" w:hAnsi="Arial" w:cs="Arial"/>
                <w:bCs/>
                <w:sz w:val="24"/>
                <w:szCs w:val="24"/>
                <w:lang w:val="en-US"/>
              </w:rPr>
              <w:t>The Committee discussed b</w:t>
            </w:r>
            <w:r w:rsidR="00DF226F" w:rsidRPr="003344D4">
              <w:rPr>
                <w:rFonts w:ascii="Arial" w:hAnsi="Arial" w:cs="Arial"/>
                <w:bCs/>
                <w:sz w:val="24"/>
                <w:szCs w:val="24"/>
                <w:lang w:val="en-US"/>
              </w:rPr>
              <w:t>usiness continuity planning</w:t>
            </w:r>
            <w:r w:rsidRPr="003344D4">
              <w:rPr>
                <w:rFonts w:ascii="Arial" w:hAnsi="Arial" w:cs="Arial"/>
                <w:bCs/>
                <w:sz w:val="24"/>
                <w:szCs w:val="24"/>
                <w:lang w:val="en-US"/>
              </w:rPr>
              <w:t xml:space="preserve"> </w:t>
            </w:r>
            <w:r w:rsidR="00803AA8">
              <w:rPr>
                <w:rFonts w:ascii="Arial" w:hAnsi="Arial" w:cs="Arial"/>
                <w:bCs/>
                <w:sz w:val="24"/>
                <w:szCs w:val="24"/>
                <w:lang w:val="en-US"/>
              </w:rPr>
              <w:t xml:space="preserve">(BCP) </w:t>
            </w:r>
            <w:r w:rsidRPr="003344D4">
              <w:rPr>
                <w:rFonts w:ascii="Arial" w:hAnsi="Arial" w:cs="Arial"/>
                <w:bCs/>
                <w:sz w:val="24"/>
                <w:szCs w:val="24"/>
                <w:lang w:val="en-US"/>
              </w:rPr>
              <w:t xml:space="preserve">and the history of reports and </w:t>
            </w:r>
            <w:r w:rsidR="00DF226F" w:rsidRPr="003344D4">
              <w:rPr>
                <w:rFonts w:ascii="Arial" w:hAnsi="Arial" w:cs="Arial"/>
                <w:bCs/>
                <w:sz w:val="24"/>
                <w:szCs w:val="24"/>
                <w:lang w:val="en-US"/>
              </w:rPr>
              <w:t xml:space="preserve">asked whether there should be a separate pandemic plan outside the standard BCP. The Internal Auditor considered that it would depend on </w:t>
            </w:r>
            <w:r w:rsidR="003344D4" w:rsidRPr="003344D4">
              <w:rPr>
                <w:rFonts w:ascii="Arial" w:hAnsi="Arial" w:cs="Arial"/>
                <w:bCs/>
                <w:sz w:val="24"/>
                <w:szCs w:val="24"/>
                <w:lang w:val="en-US"/>
              </w:rPr>
              <w:t xml:space="preserve">the College’s views on the </w:t>
            </w:r>
            <w:r w:rsidR="00DF226F" w:rsidRPr="003344D4">
              <w:rPr>
                <w:rFonts w:ascii="Arial" w:hAnsi="Arial" w:cs="Arial"/>
                <w:bCs/>
                <w:sz w:val="24"/>
                <w:szCs w:val="24"/>
                <w:lang w:val="en-US"/>
              </w:rPr>
              <w:t xml:space="preserve">likelihood of reoccurrence. The </w:t>
            </w:r>
            <w:r w:rsidR="003344D4" w:rsidRPr="003344D4">
              <w:rPr>
                <w:rFonts w:ascii="Arial" w:hAnsi="Arial" w:cs="Arial"/>
                <w:bCs/>
                <w:sz w:val="24"/>
                <w:szCs w:val="24"/>
                <w:lang w:val="en-US"/>
              </w:rPr>
              <w:t xml:space="preserve">College’s management of the current operations through a </w:t>
            </w:r>
            <w:r w:rsidR="00DF226F" w:rsidRPr="003344D4">
              <w:rPr>
                <w:rFonts w:ascii="Arial" w:hAnsi="Arial" w:cs="Arial"/>
                <w:bCs/>
                <w:sz w:val="24"/>
                <w:szCs w:val="24"/>
                <w:lang w:val="en-US"/>
              </w:rPr>
              <w:t xml:space="preserve">Response Group </w:t>
            </w:r>
            <w:r w:rsidR="003344D4" w:rsidRPr="003344D4">
              <w:rPr>
                <w:rFonts w:ascii="Arial" w:hAnsi="Arial" w:cs="Arial"/>
                <w:bCs/>
                <w:sz w:val="24"/>
                <w:szCs w:val="24"/>
                <w:lang w:val="en-US"/>
              </w:rPr>
              <w:t>of key personnel provided assurance that the Group has operated effectively and that plans are in place to reflect on the response to the pandemic.</w:t>
            </w:r>
          </w:p>
          <w:p w:rsidR="0008596C" w:rsidRPr="003344D4" w:rsidRDefault="0008596C" w:rsidP="00055F7E">
            <w:pPr>
              <w:pStyle w:val="Body"/>
              <w:spacing w:after="0" w:line="240" w:lineRule="auto"/>
              <w:rPr>
                <w:rFonts w:ascii="Arial" w:hAnsi="Arial" w:cs="Arial"/>
                <w:bCs/>
                <w:sz w:val="24"/>
                <w:szCs w:val="24"/>
                <w:lang w:val="en-US"/>
              </w:rPr>
            </w:pPr>
          </w:p>
          <w:p w:rsidR="0008596C" w:rsidRPr="003344D4" w:rsidRDefault="00DF226F" w:rsidP="00055F7E">
            <w:pPr>
              <w:pStyle w:val="Body"/>
              <w:spacing w:after="0" w:line="240" w:lineRule="auto"/>
              <w:rPr>
                <w:rFonts w:ascii="Arial" w:hAnsi="Arial" w:cs="Arial"/>
                <w:bCs/>
                <w:sz w:val="24"/>
                <w:szCs w:val="24"/>
                <w:lang w:val="en-US"/>
              </w:rPr>
            </w:pPr>
            <w:r w:rsidRPr="003344D4">
              <w:rPr>
                <w:rFonts w:ascii="Arial" w:hAnsi="Arial" w:cs="Arial"/>
                <w:bCs/>
                <w:sz w:val="24"/>
                <w:szCs w:val="24"/>
                <w:lang w:val="en-US"/>
              </w:rPr>
              <w:t xml:space="preserve">The subcontracting certificate external assurance review </w:t>
            </w:r>
            <w:r w:rsidR="003344D4" w:rsidRPr="003344D4">
              <w:rPr>
                <w:rFonts w:ascii="Arial" w:hAnsi="Arial" w:cs="Arial"/>
                <w:bCs/>
                <w:sz w:val="24"/>
                <w:szCs w:val="24"/>
                <w:lang w:val="en-US"/>
              </w:rPr>
              <w:t>was noted to be</w:t>
            </w:r>
            <w:r w:rsidRPr="003344D4">
              <w:rPr>
                <w:rFonts w:ascii="Arial" w:hAnsi="Arial" w:cs="Arial"/>
                <w:bCs/>
                <w:sz w:val="24"/>
                <w:szCs w:val="24"/>
                <w:lang w:val="en-US"/>
              </w:rPr>
              <w:t xml:space="preserve"> required as part of conditions of funding</w:t>
            </w:r>
          </w:p>
          <w:p w:rsidR="00DF226F" w:rsidRPr="003344D4" w:rsidRDefault="00DF226F" w:rsidP="00055F7E">
            <w:pPr>
              <w:pStyle w:val="Body"/>
              <w:spacing w:after="0" w:line="240" w:lineRule="auto"/>
              <w:rPr>
                <w:rFonts w:ascii="Arial" w:hAnsi="Arial" w:cs="Arial"/>
                <w:bCs/>
                <w:sz w:val="24"/>
                <w:szCs w:val="24"/>
                <w:lang w:val="en-US"/>
              </w:rPr>
            </w:pPr>
          </w:p>
          <w:p w:rsidR="00BB10A4" w:rsidRPr="003344D4" w:rsidRDefault="003344D4" w:rsidP="00055F7E">
            <w:pPr>
              <w:pStyle w:val="Body"/>
              <w:spacing w:after="0" w:line="240" w:lineRule="auto"/>
              <w:rPr>
                <w:rFonts w:ascii="Arial" w:hAnsi="Arial" w:cs="Arial"/>
                <w:bCs/>
                <w:sz w:val="24"/>
                <w:szCs w:val="24"/>
                <w:lang w:val="en-US"/>
              </w:rPr>
            </w:pPr>
            <w:r w:rsidRPr="003344D4">
              <w:rPr>
                <w:rFonts w:ascii="Arial" w:hAnsi="Arial" w:cs="Arial"/>
                <w:bCs/>
                <w:sz w:val="24"/>
                <w:szCs w:val="24"/>
                <w:lang w:val="en-US"/>
              </w:rPr>
              <w:t xml:space="preserve">A review of the </w:t>
            </w:r>
            <w:r w:rsidR="00BB10A4" w:rsidRPr="003344D4">
              <w:rPr>
                <w:rFonts w:ascii="Arial" w:hAnsi="Arial" w:cs="Arial"/>
                <w:bCs/>
                <w:sz w:val="24"/>
                <w:szCs w:val="24"/>
                <w:lang w:val="en-US"/>
              </w:rPr>
              <w:t xml:space="preserve">revised processes </w:t>
            </w:r>
            <w:r w:rsidRPr="003344D4">
              <w:rPr>
                <w:rFonts w:ascii="Arial" w:hAnsi="Arial" w:cs="Arial"/>
                <w:bCs/>
                <w:sz w:val="24"/>
                <w:szCs w:val="24"/>
                <w:lang w:val="en-US"/>
              </w:rPr>
              <w:t xml:space="preserve">in Apprenticeships </w:t>
            </w:r>
            <w:r w:rsidR="00BB10A4" w:rsidRPr="003344D4">
              <w:rPr>
                <w:rFonts w:ascii="Arial" w:hAnsi="Arial" w:cs="Arial"/>
                <w:bCs/>
                <w:sz w:val="24"/>
                <w:szCs w:val="24"/>
                <w:lang w:val="en-US"/>
              </w:rPr>
              <w:t>to ensure the new model</w:t>
            </w:r>
            <w:r w:rsidRPr="003344D4">
              <w:rPr>
                <w:rFonts w:ascii="Arial" w:hAnsi="Arial" w:cs="Arial"/>
                <w:bCs/>
                <w:sz w:val="24"/>
                <w:szCs w:val="24"/>
                <w:lang w:val="en-US"/>
              </w:rPr>
              <w:t xml:space="preserve"> is efficient is planned</w:t>
            </w:r>
            <w:r w:rsidR="00BB10A4" w:rsidRPr="003344D4">
              <w:rPr>
                <w:rFonts w:ascii="Arial" w:hAnsi="Arial" w:cs="Arial"/>
                <w:bCs/>
                <w:sz w:val="24"/>
                <w:szCs w:val="24"/>
                <w:lang w:val="en-US"/>
              </w:rPr>
              <w:t xml:space="preserve">. </w:t>
            </w:r>
            <w:r w:rsidRPr="003344D4">
              <w:rPr>
                <w:rFonts w:ascii="Arial" w:hAnsi="Arial" w:cs="Arial"/>
                <w:bCs/>
                <w:sz w:val="24"/>
                <w:szCs w:val="24"/>
                <w:lang w:val="en-US"/>
              </w:rPr>
              <w:t xml:space="preserve">The Committee supported the need for a review given the key role of apprenticeships and the funding risks. </w:t>
            </w:r>
          </w:p>
          <w:p w:rsidR="003344D4" w:rsidRPr="003344D4" w:rsidRDefault="003344D4" w:rsidP="00055F7E">
            <w:pPr>
              <w:pStyle w:val="Body"/>
              <w:spacing w:after="0" w:line="240" w:lineRule="auto"/>
              <w:rPr>
                <w:rFonts w:ascii="Arial" w:hAnsi="Arial" w:cs="Arial"/>
                <w:bCs/>
                <w:sz w:val="24"/>
                <w:szCs w:val="24"/>
                <w:lang w:val="en-US"/>
              </w:rPr>
            </w:pPr>
          </w:p>
          <w:p w:rsidR="00BB10A4" w:rsidRPr="003344D4" w:rsidRDefault="003344D4" w:rsidP="00055F7E">
            <w:pPr>
              <w:pStyle w:val="Body"/>
              <w:spacing w:after="0" w:line="240" w:lineRule="auto"/>
              <w:rPr>
                <w:rFonts w:ascii="Arial" w:hAnsi="Arial" w:cs="Arial"/>
                <w:bCs/>
                <w:sz w:val="24"/>
                <w:szCs w:val="24"/>
                <w:lang w:val="en-US"/>
              </w:rPr>
            </w:pPr>
            <w:r w:rsidRPr="003344D4">
              <w:rPr>
                <w:rFonts w:ascii="Arial" w:hAnsi="Arial" w:cs="Arial"/>
                <w:bCs/>
                <w:sz w:val="24"/>
                <w:szCs w:val="24"/>
                <w:lang w:val="en-US"/>
              </w:rPr>
              <w:t>O</w:t>
            </w:r>
            <w:r w:rsidR="00BB10A4" w:rsidRPr="003344D4">
              <w:rPr>
                <w:rFonts w:ascii="Arial" w:hAnsi="Arial" w:cs="Arial"/>
                <w:bCs/>
                <w:sz w:val="24"/>
                <w:szCs w:val="24"/>
                <w:lang w:val="en-US"/>
              </w:rPr>
              <w:t>ngoing discussion</w:t>
            </w:r>
            <w:r w:rsidRPr="003344D4">
              <w:rPr>
                <w:rFonts w:ascii="Arial" w:hAnsi="Arial" w:cs="Arial"/>
                <w:bCs/>
                <w:sz w:val="24"/>
                <w:szCs w:val="24"/>
                <w:lang w:val="en-US"/>
              </w:rPr>
              <w:t>s had taken place</w:t>
            </w:r>
            <w:r w:rsidR="00BB10A4" w:rsidRPr="003344D4">
              <w:rPr>
                <w:rFonts w:ascii="Arial" w:hAnsi="Arial" w:cs="Arial"/>
                <w:bCs/>
                <w:sz w:val="24"/>
                <w:szCs w:val="24"/>
                <w:lang w:val="en-US"/>
              </w:rPr>
              <w:t xml:space="preserve"> around the operation of </w:t>
            </w:r>
            <w:r w:rsidRPr="003344D4">
              <w:rPr>
                <w:rFonts w:ascii="Arial" w:hAnsi="Arial" w:cs="Arial"/>
                <w:bCs/>
                <w:sz w:val="24"/>
                <w:szCs w:val="24"/>
                <w:lang w:val="en-US"/>
              </w:rPr>
              <w:t>HR and payroll; since merger</w:t>
            </w:r>
            <w:r w:rsidR="00BB10A4" w:rsidRPr="003344D4">
              <w:rPr>
                <w:rFonts w:ascii="Arial" w:hAnsi="Arial" w:cs="Arial"/>
                <w:bCs/>
                <w:sz w:val="24"/>
                <w:szCs w:val="24"/>
                <w:lang w:val="en-US"/>
              </w:rPr>
              <w:t xml:space="preserve"> 2 systems </w:t>
            </w:r>
            <w:r w:rsidRPr="003344D4">
              <w:rPr>
                <w:rFonts w:ascii="Arial" w:hAnsi="Arial" w:cs="Arial"/>
                <w:bCs/>
                <w:sz w:val="24"/>
                <w:szCs w:val="24"/>
                <w:lang w:val="en-US"/>
              </w:rPr>
              <w:t xml:space="preserve">had operated with </w:t>
            </w:r>
            <w:r w:rsidR="00BB10A4" w:rsidRPr="003344D4">
              <w:rPr>
                <w:rFonts w:ascii="Arial" w:hAnsi="Arial" w:cs="Arial"/>
                <w:bCs/>
                <w:sz w:val="24"/>
                <w:szCs w:val="24"/>
                <w:lang w:val="en-US"/>
              </w:rPr>
              <w:t xml:space="preserve">all activity </w:t>
            </w:r>
            <w:r w:rsidRPr="003344D4">
              <w:rPr>
                <w:rFonts w:ascii="Arial" w:hAnsi="Arial" w:cs="Arial"/>
                <w:bCs/>
                <w:sz w:val="24"/>
                <w:szCs w:val="24"/>
                <w:lang w:val="en-US"/>
              </w:rPr>
              <w:t>being brought</w:t>
            </w:r>
            <w:r w:rsidR="00BB10A4" w:rsidRPr="003344D4">
              <w:rPr>
                <w:rFonts w:ascii="Arial" w:hAnsi="Arial" w:cs="Arial"/>
                <w:bCs/>
                <w:sz w:val="24"/>
                <w:szCs w:val="24"/>
                <w:lang w:val="en-US"/>
              </w:rPr>
              <w:t xml:space="preserve"> in house</w:t>
            </w:r>
            <w:r w:rsidRPr="003344D4">
              <w:rPr>
                <w:rFonts w:ascii="Arial" w:hAnsi="Arial" w:cs="Arial"/>
                <w:bCs/>
                <w:sz w:val="24"/>
                <w:szCs w:val="24"/>
                <w:lang w:val="en-US"/>
              </w:rPr>
              <w:t xml:space="preserve"> during the current year</w:t>
            </w:r>
            <w:r w:rsidR="00BB10A4" w:rsidRPr="003344D4">
              <w:rPr>
                <w:rFonts w:ascii="Arial" w:hAnsi="Arial" w:cs="Arial"/>
                <w:bCs/>
                <w:sz w:val="24"/>
                <w:szCs w:val="24"/>
                <w:lang w:val="en-US"/>
              </w:rPr>
              <w:t xml:space="preserve">. </w:t>
            </w:r>
            <w:r w:rsidRPr="003344D4">
              <w:rPr>
                <w:rFonts w:ascii="Arial" w:hAnsi="Arial" w:cs="Arial"/>
                <w:bCs/>
                <w:sz w:val="24"/>
                <w:szCs w:val="24"/>
                <w:lang w:val="en-US"/>
              </w:rPr>
              <w:t>The planned a</w:t>
            </w:r>
            <w:r w:rsidR="00BB10A4" w:rsidRPr="003344D4">
              <w:rPr>
                <w:rFonts w:ascii="Arial" w:hAnsi="Arial" w:cs="Arial"/>
                <w:bCs/>
                <w:sz w:val="24"/>
                <w:szCs w:val="24"/>
                <w:lang w:val="en-US"/>
              </w:rPr>
              <w:t xml:space="preserve">udit will </w:t>
            </w:r>
            <w:r w:rsidRPr="003344D4">
              <w:rPr>
                <w:rFonts w:ascii="Arial" w:hAnsi="Arial" w:cs="Arial"/>
                <w:bCs/>
                <w:sz w:val="24"/>
                <w:szCs w:val="24"/>
                <w:lang w:val="en-US"/>
              </w:rPr>
              <w:t xml:space="preserve">therefore </w:t>
            </w:r>
            <w:r w:rsidR="00BB10A4" w:rsidRPr="003344D4">
              <w:rPr>
                <w:rFonts w:ascii="Arial" w:hAnsi="Arial" w:cs="Arial"/>
                <w:bCs/>
                <w:sz w:val="24"/>
                <w:szCs w:val="24"/>
                <w:lang w:val="en-US"/>
              </w:rPr>
              <w:t xml:space="preserve">provide an opportunity to look at </w:t>
            </w:r>
            <w:r w:rsidRPr="003344D4">
              <w:rPr>
                <w:rFonts w:ascii="Arial" w:hAnsi="Arial" w:cs="Arial"/>
                <w:bCs/>
                <w:sz w:val="24"/>
                <w:szCs w:val="24"/>
                <w:lang w:val="en-US"/>
              </w:rPr>
              <w:t xml:space="preserve">the </w:t>
            </w:r>
            <w:r w:rsidR="00BB10A4" w:rsidRPr="003344D4">
              <w:rPr>
                <w:rFonts w:ascii="Arial" w:hAnsi="Arial" w:cs="Arial"/>
                <w:bCs/>
                <w:sz w:val="24"/>
                <w:szCs w:val="24"/>
                <w:lang w:val="en-US"/>
              </w:rPr>
              <w:t>single payroll model</w:t>
            </w:r>
            <w:r w:rsidRPr="003344D4">
              <w:rPr>
                <w:rFonts w:ascii="Arial" w:hAnsi="Arial" w:cs="Arial"/>
                <w:bCs/>
                <w:sz w:val="24"/>
                <w:szCs w:val="24"/>
                <w:lang w:val="en-US"/>
              </w:rPr>
              <w:t>.</w:t>
            </w:r>
            <w:r>
              <w:rPr>
                <w:rFonts w:ascii="Arial" w:hAnsi="Arial" w:cs="Arial"/>
                <w:bCs/>
                <w:sz w:val="24"/>
                <w:szCs w:val="24"/>
                <w:lang w:val="en-US"/>
              </w:rPr>
              <w:t xml:space="preserve"> </w:t>
            </w:r>
            <w:r w:rsidRPr="003344D4">
              <w:rPr>
                <w:rFonts w:ascii="Arial" w:hAnsi="Arial" w:cs="Arial"/>
                <w:bCs/>
                <w:sz w:val="24"/>
                <w:szCs w:val="24"/>
                <w:lang w:val="en-US"/>
              </w:rPr>
              <w:t xml:space="preserve">It is also planned to review key financial controls for the first time since merger. </w:t>
            </w:r>
          </w:p>
          <w:p w:rsidR="00BB10A4" w:rsidRDefault="00BB10A4" w:rsidP="00055F7E">
            <w:pPr>
              <w:pStyle w:val="Body"/>
              <w:spacing w:after="0" w:line="240" w:lineRule="auto"/>
              <w:rPr>
                <w:rFonts w:ascii="Arial" w:hAnsi="Arial" w:cs="Arial"/>
                <w:b/>
                <w:bCs/>
                <w:sz w:val="24"/>
                <w:szCs w:val="24"/>
                <w:lang w:val="en-US"/>
              </w:rPr>
            </w:pPr>
          </w:p>
          <w:p w:rsidR="003344D4" w:rsidRPr="00BC36F2" w:rsidRDefault="003344D4" w:rsidP="003344D4">
            <w:pPr>
              <w:pStyle w:val="Body"/>
              <w:spacing w:after="0" w:line="240" w:lineRule="auto"/>
              <w:rPr>
                <w:rFonts w:ascii="Arial" w:hAnsi="Arial" w:cs="Arial"/>
                <w:bCs/>
                <w:sz w:val="24"/>
                <w:szCs w:val="24"/>
                <w:lang w:val="en-US"/>
              </w:rPr>
            </w:pPr>
            <w:r w:rsidRPr="00BC36F2">
              <w:rPr>
                <w:rFonts w:ascii="Arial" w:hAnsi="Arial" w:cs="Arial"/>
                <w:bCs/>
                <w:sz w:val="24"/>
                <w:szCs w:val="24"/>
                <w:lang w:val="en-US"/>
              </w:rPr>
              <w:t xml:space="preserve">The proposal is to look both at compliance as well as funding optimization for </w:t>
            </w:r>
          </w:p>
          <w:p w:rsidR="004F15C3" w:rsidRPr="00BC36F2" w:rsidRDefault="00BB10A4" w:rsidP="00055F7E">
            <w:pPr>
              <w:pStyle w:val="Body"/>
              <w:spacing w:after="0" w:line="240" w:lineRule="auto"/>
              <w:rPr>
                <w:rFonts w:ascii="Arial" w:hAnsi="Arial" w:cs="Arial"/>
                <w:bCs/>
                <w:sz w:val="24"/>
                <w:szCs w:val="24"/>
                <w:lang w:val="en-US"/>
              </w:rPr>
            </w:pPr>
            <w:r w:rsidRPr="00BC36F2">
              <w:rPr>
                <w:rFonts w:ascii="Arial" w:hAnsi="Arial" w:cs="Arial"/>
                <w:bCs/>
                <w:sz w:val="24"/>
                <w:szCs w:val="24"/>
                <w:lang w:val="en-US"/>
              </w:rPr>
              <w:t xml:space="preserve">Additional learning support </w:t>
            </w:r>
            <w:r w:rsidR="003344D4" w:rsidRPr="00BC36F2">
              <w:rPr>
                <w:rFonts w:ascii="Arial" w:hAnsi="Arial" w:cs="Arial"/>
                <w:bCs/>
                <w:sz w:val="24"/>
                <w:szCs w:val="24"/>
                <w:lang w:val="en-US"/>
              </w:rPr>
              <w:t xml:space="preserve">(“ALS”) </w:t>
            </w:r>
            <w:r w:rsidRPr="00BC36F2">
              <w:rPr>
                <w:rFonts w:ascii="Arial" w:hAnsi="Arial" w:cs="Arial"/>
                <w:bCs/>
                <w:sz w:val="24"/>
                <w:szCs w:val="24"/>
                <w:lang w:val="en-US"/>
              </w:rPr>
              <w:t xml:space="preserve">and high needs students. ALS </w:t>
            </w:r>
            <w:r w:rsidR="003344D4" w:rsidRPr="00BC36F2">
              <w:rPr>
                <w:rFonts w:ascii="Arial" w:hAnsi="Arial" w:cs="Arial"/>
                <w:bCs/>
                <w:sz w:val="24"/>
                <w:szCs w:val="24"/>
                <w:lang w:val="en-US"/>
              </w:rPr>
              <w:t>is significant and the</w:t>
            </w:r>
            <w:r w:rsidRPr="00BC36F2">
              <w:rPr>
                <w:rFonts w:ascii="Arial" w:hAnsi="Arial" w:cs="Arial"/>
                <w:bCs/>
                <w:sz w:val="24"/>
                <w:szCs w:val="24"/>
                <w:lang w:val="en-US"/>
              </w:rPr>
              <w:t xml:space="preserve"> </w:t>
            </w:r>
            <w:r w:rsidR="00435DED" w:rsidRPr="00BC36F2">
              <w:rPr>
                <w:rFonts w:ascii="Arial" w:hAnsi="Arial" w:cs="Arial"/>
                <w:bCs/>
                <w:sz w:val="24"/>
                <w:szCs w:val="24"/>
                <w:lang w:val="en-US"/>
              </w:rPr>
              <w:t>ESFA had</w:t>
            </w:r>
            <w:r w:rsidR="00BC36F2" w:rsidRPr="00BC36F2">
              <w:rPr>
                <w:rFonts w:ascii="Arial" w:hAnsi="Arial" w:cs="Arial"/>
                <w:bCs/>
                <w:sz w:val="24"/>
                <w:szCs w:val="24"/>
                <w:lang w:val="en-US"/>
              </w:rPr>
              <w:t>, pre Covid-19,</w:t>
            </w:r>
            <w:r w:rsidR="00435DED" w:rsidRPr="00BC36F2">
              <w:rPr>
                <w:rFonts w:ascii="Arial" w:hAnsi="Arial" w:cs="Arial"/>
                <w:bCs/>
                <w:sz w:val="24"/>
                <w:szCs w:val="24"/>
                <w:lang w:val="en-US"/>
              </w:rPr>
              <w:t xml:space="preserve"> commenced a pilot programme to look at practices around ALS</w:t>
            </w:r>
            <w:r w:rsidR="00BC36F2" w:rsidRPr="00BC36F2">
              <w:rPr>
                <w:rFonts w:ascii="Arial" w:hAnsi="Arial" w:cs="Arial"/>
                <w:bCs/>
                <w:sz w:val="24"/>
                <w:szCs w:val="24"/>
                <w:lang w:val="en-US"/>
              </w:rPr>
              <w:t xml:space="preserve">. </w:t>
            </w:r>
            <w:r w:rsidR="004F15C3" w:rsidRPr="00BC36F2">
              <w:rPr>
                <w:rFonts w:ascii="Arial" w:hAnsi="Arial" w:cs="Arial"/>
                <w:bCs/>
                <w:sz w:val="24"/>
                <w:szCs w:val="24"/>
                <w:lang w:val="en-US"/>
              </w:rPr>
              <w:t>Colleges are known to be good at prov</w:t>
            </w:r>
            <w:r w:rsidR="00BC36F2" w:rsidRPr="00BC36F2">
              <w:rPr>
                <w:rFonts w:ascii="Arial" w:hAnsi="Arial" w:cs="Arial"/>
                <w:bCs/>
                <w:sz w:val="24"/>
                <w:szCs w:val="24"/>
                <w:lang w:val="en-US"/>
              </w:rPr>
              <w:t xml:space="preserve">iding support but not at </w:t>
            </w:r>
            <w:proofErr w:type="spellStart"/>
            <w:r w:rsidR="00BC36F2" w:rsidRPr="00BC36F2">
              <w:rPr>
                <w:rFonts w:ascii="Arial" w:hAnsi="Arial" w:cs="Arial"/>
                <w:bCs/>
                <w:sz w:val="24"/>
                <w:szCs w:val="24"/>
                <w:lang w:val="en-US"/>
              </w:rPr>
              <w:t>optimis</w:t>
            </w:r>
            <w:r w:rsidR="004F15C3" w:rsidRPr="00BC36F2">
              <w:rPr>
                <w:rFonts w:ascii="Arial" w:hAnsi="Arial" w:cs="Arial"/>
                <w:bCs/>
                <w:sz w:val="24"/>
                <w:szCs w:val="24"/>
                <w:lang w:val="en-US"/>
              </w:rPr>
              <w:t>ing</w:t>
            </w:r>
            <w:proofErr w:type="spellEnd"/>
            <w:r w:rsidR="004F15C3" w:rsidRPr="00BC36F2">
              <w:rPr>
                <w:rFonts w:ascii="Arial" w:hAnsi="Arial" w:cs="Arial"/>
                <w:bCs/>
                <w:sz w:val="24"/>
                <w:szCs w:val="24"/>
                <w:lang w:val="en-US"/>
              </w:rPr>
              <w:t xml:space="preserve"> funding claims. </w:t>
            </w:r>
          </w:p>
          <w:p w:rsidR="00BC36F2" w:rsidRPr="00BC36F2" w:rsidRDefault="00BC36F2" w:rsidP="00055F7E">
            <w:pPr>
              <w:pStyle w:val="Body"/>
              <w:spacing w:after="0" w:line="240" w:lineRule="auto"/>
              <w:rPr>
                <w:rFonts w:ascii="Arial" w:hAnsi="Arial" w:cs="Arial"/>
                <w:bCs/>
                <w:sz w:val="24"/>
                <w:szCs w:val="24"/>
                <w:lang w:val="en-US"/>
              </w:rPr>
            </w:pPr>
          </w:p>
          <w:p w:rsidR="004F15C3" w:rsidRPr="00BC36F2" w:rsidRDefault="004F15C3" w:rsidP="00055F7E">
            <w:pPr>
              <w:pStyle w:val="Body"/>
              <w:spacing w:after="0" w:line="240" w:lineRule="auto"/>
              <w:rPr>
                <w:rFonts w:ascii="Arial" w:hAnsi="Arial" w:cs="Arial"/>
                <w:bCs/>
                <w:sz w:val="24"/>
                <w:szCs w:val="24"/>
                <w:lang w:val="en-US"/>
              </w:rPr>
            </w:pPr>
            <w:r w:rsidRPr="00BC36F2">
              <w:rPr>
                <w:rFonts w:ascii="Arial" w:hAnsi="Arial" w:cs="Arial"/>
                <w:bCs/>
                <w:sz w:val="24"/>
                <w:szCs w:val="24"/>
                <w:lang w:val="en-US"/>
              </w:rPr>
              <w:lastRenderedPageBreak/>
              <w:t xml:space="preserve">It was acknowledged that </w:t>
            </w:r>
            <w:r w:rsidR="00BC36F2" w:rsidRPr="00BC36F2">
              <w:rPr>
                <w:rFonts w:ascii="Arial" w:hAnsi="Arial" w:cs="Arial"/>
                <w:bCs/>
                <w:sz w:val="24"/>
                <w:szCs w:val="24"/>
                <w:lang w:val="en-US"/>
              </w:rPr>
              <w:t xml:space="preserve">given the current uncertainties </w:t>
            </w:r>
            <w:r w:rsidRPr="00BC36F2">
              <w:rPr>
                <w:rFonts w:ascii="Arial" w:hAnsi="Arial" w:cs="Arial"/>
                <w:bCs/>
                <w:sz w:val="24"/>
                <w:szCs w:val="24"/>
                <w:lang w:val="en-US"/>
              </w:rPr>
              <w:t xml:space="preserve">the risk profile </w:t>
            </w:r>
            <w:r w:rsidR="00BC36F2" w:rsidRPr="00BC36F2">
              <w:rPr>
                <w:rFonts w:ascii="Arial" w:hAnsi="Arial" w:cs="Arial"/>
                <w:bCs/>
                <w:sz w:val="24"/>
                <w:szCs w:val="24"/>
                <w:lang w:val="en-US"/>
              </w:rPr>
              <w:t xml:space="preserve">for the Group </w:t>
            </w:r>
            <w:r w:rsidRPr="00BC36F2">
              <w:rPr>
                <w:rFonts w:ascii="Arial" w:hAnsi="Arial" w:cs="Arial"/>
                <w:bCs/>
                <w:sz w:val="24"/>
                <w:szCs w:val="24"/>
                <w:lang w:val="en-US"/>
              </w:rPr>
              <w:t xml:space="preserve">will </w:t>
            </w:r>
            <w:r w:rsidR="00BC36F2" w:rsidRPr="00BC36F2">
              <w:rPr>
                <w:rFonts w:ascii="Arial" w:hAnsi="Arial" w:cs="Arial"/>
                <w:bCs/>
                <w:sz w:val="24"/>
                <w:szCs w:val="24"/>
                <w:lang w:val="en-US"/>
              </w:rPr>
              <w:t xml:space="preserve">be subject to </w:t>
            </w:r>
            <w:r w:rsidRPr="00BC36F2">
              <w:rPr>
                <w:rFonts w:ascii="Arial" w:hAnsi="Arial" w:cs="Arial"/>
                <w:bCs/>
                <w:sz w:val="24"/>
                <w:szCs w:val="24"/>
                <w:lang w:val="en-US"/>
              </w:rPr>
              <w:t>change and the plan will remain flexible</w:t>
            </w:r>
            <w:r w:rsidR="00BC36F2" w:rsidRPr="00BC36F2">
              <w:rPr>
                <w:rFonts w:ascii="Arial" w:hAnsi="Arial" w:cs="Arial"/>
                <w:bCs/>
                <w:sz w:val="24"/>
                <w:szCs w:val="24"/>
                <w:lang w:val="en-US"/>
              </w:rPr>
              <w:t xml:space="preserve"> and open to dialogue to maximize value from the plan.</w:t>
            </w:r>
          </w:p>
          <w:p w:rsidR="004F15C3" w:rsidRDefault="004F15C3" w:rsidP="00055F7E">
            <w:pPr>
              <w:pStyle w:val="Body"/>
              <w:spacing w:after="0" w:line="240" w:lineRule="auto"/>
              <w:rPr>
                <w:rFonts w:ascii="Arial" w:hAnsi="Arial" w:cs="Arial"/>
                <w:b/>
                <w:bCs/>
                <w:sz w:val="24"/>
                <w:szCs w:val="24"/>
                <w:lang w:val="en-US"/>
              </w:rPr>
            </w:pPr>
          </w:p>
          <w:p w:rsidR="004F15C3" w:rsidRPr="00102B7E" w:rsidRDefault="004F15C3" w:rsidP="00055F7E">
            <w:pPr>
              <w:pStyle w:val="Body"/>
              <w:spacing w:after="0" w:line="240" w:lineRule="auto"/>
              <w:rPr>
                <w:rFonts w:ascii="Arial" w:hAnsi="Arial" w:cs="Arial"/>
                <w:bCs/>
                <w:sz w:val="24"/>
                <w:szCs w:val="24"/>
                <w:lang w:val="en-US"/>
              </w:rPr>
            </w:pPr>
            <w:r w:rsidRPr="00102B7E">
              <w:rPr>
                <w:rFonts w:ascii="Arial" w:hAnsi="Arial" w:cs="Arial"/>
                <w:bCs/>
                <w:sz w:val="24"/>
                <w:szCs w:val="24"/>
                <w:lang w:val="en-US"/>
              </w:rPr>
              <w:t>The Committee questioned whether there is any antici</w:t>
            </w:r>
            <w:r w:rsidR="00102B7E" w:rsidRPr="00102B7E">
              <w:rPr>
                <w:rFonts w:ascii="Arial" w:hAnsi="Arial" w:cs="Arial"/>
                <w:bCs/>
                <w:sz w:val="24"/>
                <w:szCs w:val="24"/>
                <w:lang w:val="en-US"/>
              </w:rPr>
              <w:t>pated change in the structure of</w:t>
            </w:r>
            <w:r w:rsidRPr="00102B7E">
              <w:rPr>
                <w:rFonts w:ascii="Arial" w:hAnsi="Arial" w:cs="Arial"/>
                <w:bCs/>
                <w:sz w:val="24"/>
                <w:szCs w:val="24"/>
                <w:lang w:val="en-US"/>
              </w:rPr>
              <w:t xml:space="preserve"> banking covenants and </w:t>
            </w:r>
            <w:r w:rsidR="00102B7E" w:rsidRPr="00102B7E">
              <w:rPr>
                <w:rFonts w:ascii="Arial" w:hAnsi="Arial" w:cs="Arial"/>
                <w:bCs/>
                <w:sz w:val="24"/>
                <w:szCs w:val="24"/>
                <w:lang w:val="en-US"/>
              </w:rPr>
              <w:t xml:space="preserve">what the </w:t>
            </w:r>
            <w:r w:rsidRPr="00102B7E">
              <w:rPr>
                <w:rFonts w:ascii="Arial" w:hAnsi="Arial" w:cs="Arial"/>
                <w:bCs/>
                <w:sz w:val="24"/>
                <w:szCs w:val="24"/>
                <w:lang w:val="en-US"/>
              </w:rPr>
              <w:t>likely impact</w:t>
            </w:r>
            <w:r w:rsidR="00102B7E" w:rsidRPr="00102B7E">
              <w:rPr>
                <w:rFonts w:ascii="Arial" w:hAnsi="Arial" w:cs="Arial"/>
                <w:bCs/>
                <w:sz w:val="24"/>
                <w:szCs w:val="24"/>
                <w:lang w:val="en-US"/>
              </w:rPr>
              <w:t xml:space="preserve"> might be</w:t>
            </w:r>
            <w:r w:rsidRPr="00102B7E">
              <w:rPr>
                <w:rFonts w:ascii="Arial" w:hAnsi="Arial" w:cs="Arial"/>
                <w:bCs/>
                <w:sz w:val="24"/>
                <w:szCs w:val="24"/>
                <w:lang w:val="en-US"/>
              </w:rPr>
              <w:t xml:space="preserve">. Previous audits around financial planning had not indicated a </w:t>
            </w:r>
            <w:r w:rsidR="004A40A6" w:rsidRPr="00102B7E">
              <w:rPr>
                <w:rFonts w:ascii="Arial" w:hAnsi="Arial" w:cs="Arial"/>
                <w:bCs/>
                <w:sz w:val="24"/>
                <w:szCs w:val="24"/>
                <w:lang w:val="en-US"/>
              </w:rPr>
              <w:t xml:space="preserve">particular </w:t>
            </w:r>
            <w:r w:rsidRPr="00102B7E">
              <w:rPr>
                <w:rFonts w:ascii="Arial" w:hAnsi="Arial" w:cs="Arial"/>
                <w:bCs/>
                <w:sz w:val="24"/>
                <w:szCs w:val="24"/>
                <w:lang w:val="en-US"/>
              </w:rPr>
              <w:t xml:space="preserve">risk </w:t>
            </w:r>
            <w:r w:rsidR="004A40A6" w:rsidRPr="00102B7E">
              <w:rPr>
                <w:rFonts w:ascii="Arial" w:hAnsi="Arial" w:cs="Arial"/>
                <w:bCs/>
                <w:sz w:val="24"/>
                <w:szCs w:val="24"/>
                <w:lang w:val="en-US"/>
              </w:rPr>
              <w:t>for the College</w:t>
            </w:r>
            <w:r w:rsidR="00102B7E" w:rsidRPr="00102B7E">
              <w:rPr>
                <w:rFonts w:ascii="Arial" w:hAnsi="Arial" w:cs="Arial"/>
                <w:bCs/>
                <w:sz w:val="24"/>
                <w:szCs w:val="24"/>
                <w:lang w:val="en-US"/>
              </w:rPr>
              <w:t xml:space="preserve"> in this area. A</w:t>
            </w:r>
            <w:r w:rsidRPr="00102B7E">
              <w:rPr>
                <w:rFonts w:ascii="Arial" w:hAnsi="Arial" w:cs="Arial"/>
                <w:bCs/>
                <w:sz w:val="24"/>
                <w:szCs w:val="24"/>
                <w:lang w:val="en-US"/>
              </w:rPr>
              <w:t xml:space="preserve">ssurance was given that the banking covenants are not posing a risk and </w:t>
            </w:r>
            <w:r w:rsidR="00102B7E" w:rsidRPr="00102B7E">
              <w:rPr>
                <w:rFonts w:ascii="Arial" w:hAnsi="Arial" w:cs="Arial"/>
                <w:bCs/>
                <w:sz w:val="24"/>
                <w:szCs w:val="24"/>
                <w:lang w:val="en-US"/>
              </w:rPr>
              <w:t xml:space="preserve">that </w:t>
            </w:r>
            <w:r w:rsidRPr="00102B7E">
              <w:rPr>
                <w:rFonts w:ascii="Arial" w:hAnsi="Arial" w:cs="Arial"/>
                <w:bCs/>
                <w:sz w:val="24"/>
                <w:szCs w:val="24"/>
                <w:lang w:val="en-US"/>
              </w:rPr>
              <w:t xml:space="preserve">there is no planned activity that </w:t>
            </w:r>
            <w:r w:rsidR="00102B7E" w:rsidRPr="00102B7E">
              <w:rPr>
                <w:rFonts w:ascii="Arial" w:hAnsi="Arial" w:cs="Arial"/>
                <w:bCs/>
                <w:sz w:val="24"/>
                <w:szCs w:val="24"/>
                <w:lang w:val="en-US"/>
              </w:rPr>
              <w:t>is likely to</w:t>
            </w:r>
            <w:r w:rsidRPr="00102B7E">
              <w:rPr>
                <w:rFonts w:ascii="Arial" w:hAnsi="Arial" w:cs="Arial"/>
                <w:bCs/>
                <w:sz w:val="24"/>
                <w:szCs w:val="24"/>
                <w:lang w:val="en-US"/>
              </w:rPr>
              <w:t xml:space="preserve"> trigger a review.</w:t>
            </w:r>
          </w:p>
          <w:p w:rsidR="007B2E95" w:rsidRPr="00102B7E" w:rsidRDefault="007B2E95" w:rsidP="00055F7E">
            <w:pPr>
              <w:pStyle w:val="Body"/>
              <w:spacing w:after="0" w:line="240" w:lineRule="auto"/>
              <w:rPr>
                <w:rFonts w:ascii="Arial" w:hAnsi="Arial" w:cs="Arial"/>
                <w:bCs/>
                <w:sz w:val="24"/>
                <w:szCs w:val="24"/>
                <w:lang w:val="en-US"/>
              </w:rPr>
            </w:pPr>
          </w:p>
          <w:p w:rsidR="004A40A6" w:rsidRDefault="00102B7E" w:rsidP="00055F7E">
            <w:pPr>
              <w:pStyle w:val="Body"/>
              <w:spacing w:after="0" w:line="240" w:lineRule="auto"/>
              <w:rPr>
                <w:rFonts w:ascii="Arial" w:hAnsi="Arial" w:cs="Arial"/>
                <w:bCs/>
                <w:sz w:val="24"/>
                <w:szCs w:val="24"/>
                <w:lang w:val="en-US"/>
              </w:rPr>
            </w:pPr>
            <w:r w:rsidRPr="00102B7E">
              <w:rPr>
                <w:rFonts w:ascii="Arial" w:hAnsi="Arial" w:cs="Arial"/>
                <w:bCs/>
                <w:sz w:val="24"/>
                <w:szCs w:val="24"/>
                <w:lang w:val="en-US"/>
              </w:rPr>
              <w:t>The Committee felt the plan was well written</w:t>
            </w:r>
            <w:r w:rsidR="00A15636" w:rsidRPr="00102B7E">
              <w:rPr>
                <w:rFonts w:ascii="Arial" w:hAnsi="Arial" w:cs="Arial"/>
                <w:bCs/>
                <w:sz w:val="24"/>
                <w:szCs w:val="24"/>
                <w:lang w:val="en-US"/>
              </w:rPr>
              <w:t xml:space="preserve"> with a good level of context</w:t>
            </w:r>
            <w:r w:rsidRPr="00102B7E">
              <w:rPr>
                <w:rFonts w:ascii="Arial" w:hAnsi="Arial" w:cs="Arial"/>
                <w:bCs/>
                <w:sz w:val="24"/>
                <w:szCs w:val="24"/>
                <w:lang w:val="en-US"/>
              </w:rPr>
              <w:t xml:space="preserve">. It was also noted to reflect the discussion and priorities outlined in </w:t>
            </w:r>
            <w:r w:rsidR="00A15636" w:rsidRPr="00102B7E">
              <w:rPr>
                <w:rFonts w:ascii="Arial" w:hAnsi="Arial" w:cs="Arial"/>
                <w:bCs/>
                <w:sz w:val="24"/>
                <w:szCs w:val="24"/>
                <w:lang w:val="en-US"/>
              </w:rPr>
              <w:t>other committees.</w:t>
            </w:r>
          </w:p>
          <w:p w:rsidR="0063273E" w:rsidRDefault="0063273E" w:rsidP="00055F7E">
            <w:pPr>
              <w:pStyle w:val="Body"/>
              <w:spacing w:after="0" w:line="240" w:lineRule="auto"/>
              <w:rPr>
                <w:rFonts w:ascii="Arial" w:hAnsi="Arial" w:cs="Arial"/>
                <w:bCs/>
                <w:sz w:val="24"/>
                <w:szCs w:val="24"/>
                <w:lang w:val="en-US"/>
              </w:rPr>
            </w:pPr>
          </w:p>
          <w:p w:rsidR="0063273E" w:rsidRPr="00102B7E" w:rsidRDefault="0063273E" w:rsidP="00055F7E">
            <w:pPr>
              <w:pStyle w:val="Body"/>
              <w:spacing w:after="0" w:line="240" w:lineRule="auto"/>
              <w:rPr>
                <w:rFonts w:ascii="Arial" w:hAnsi="Arial" w:cs="Arial"/>
                <w:bCs/>
                <w:sz w:val="24"/>
                <w:szCs w:val="24"/>
                <w:lang w:val="en-US"/>
              </w:rPr>
            </w:pPr>
            <w:r>
              <w:rPr>
                <w:rFonts w:ascii="Arial" w:hAnsi="Arial" w:cs="Arial"/>
                <w:bCs/>
                <w:sz w:val="24"/>
                <w:szCs w:val="24"/>
                <w:lang w:val="en-US"/>
              </w:rPr>
              <w:t xml:space="preserve">The Internal Audit Plan 2020-2021was approved </w:t>
            </w:r>
          </w:p>
          <w:p w:rsidR="0008596C" w:rsidRPr="00055F7E" w:rsidRDefault="0008596C" w:rsidP="00055F7E">
            <w:pPr>
              <w:pStyle w:val="Body"/>
              <w:spacing w:after="0" w:line="240" w:lineRule="auto"/>
              <w:rPr>
                <w:rFonts w:ascii="Arial" w:hAnsi="Arial" w:cs="Arial"/>
                <w:b/>
                <w:bCs/>
                <w:sz w:val="24"/>
                <w:szCs w:val="24"/>
                <w:lang w:val="en-US"/>
              </w:rPr>
            </w:pPr>
          </w:p>
        </w:tc>
      </w:tr>
      <w:tr w:rsidR="00171FA8" w:rsidTr="0008596C">
        <w:trPr>
          <w:trHeight w:val="640"/>
        </w:trPr>
        <w:tc>
          <w:tcPr>
            <w:tcW w:w="1668" w:type="dxa"/>
            <w:gridSpan w:val="2"/>
            <w:tcBorders>
              <w:top w:val="nil"/>
              <w:left w:val="nil"/>
              <w:bottom w:val="nil"/>
              <w:right w:val="nil"/>
            </w:tcBorders>
            <w:shd w:val="clear" w:color="auto" w:fill="DBE5F1" w:themeFill="accent1" w:themeFillTint="33"/>
            <w:tcMar>
              <w:top w:w="80" w:type="dxa"/>
              <w:left w:w="80" w:type="dxa"/>
              <w:bottom w:w="80" w:type="dxa"/>
              <w:right w:w="80" w:type="dxa"/>
            </w:tcMar>
          </w:tcPr>
          <w:p w:rsidR="00171FA8" w:rsidRPr="005D41E5" w:rsidRDefault="00102B7E">
            <w:pPr>
              <w:pStyle w:val="Body"/>
              <w:spacing w:after="0" w:line="240" w:lineRule="auto"/>
              <w:rPr>
                <w:rFonts w:ascii="Arial" w:hAnsi="Arial" w:cs="Arial"/>
                <w:b/>
                <w:bCs/>
                <w:sz w:val="24"/>
                <w:szCs w:val="24"/>
                <w:lang w:val="en-US"/>
              </w:rPr>
            </w:pPr>
            <w:r>
              <w:rPr>
                <w:rFonts w:ascii="Arial" w:hAnsi="Arial" w:cs="Arial"/>
                <w:b/>
                <w:bCs/>
                <w:sz w:val="24"/>
                <w:szCs w:val="24"/>
                <w:lang w:val="en-US"/>
              </w:rPr>
              <w:lastRenderedPageBreak/>
              <w:t>AC/20/20</w:t>
            </w:r>
          </w:p>
        </w:tc>
        <w:tc>
          <w:tcPr>
            <w:tcW w:w="7863" w:type="dxa"/>
            <w:gridSpan w:val="2"/>
            <w:tcBorders>
              <w:top w:val="nil"/>
              <w:left w:val="nil"/>
              <w:bottom w:val="nil"/>
              <w:right w:val="nil"/>
            </w:tcBorders>
            <w:shd w:val="clear" w:color="auto" w:fill="DBE5F1" w:themeFill="accent1" w:themeFillTint="33"/>
            <w:tcMar>
              <w:top w:w="80" w:type="dxa"/>
              <w:left w:w="80" w:type="dxa"/>
              <w:bottom w:w="80" w:type="dxa"/>
              <w:right w:w="80" w:type="dxa"/>
            </w:tcMar>
          </w:tcPr>
          <w:p w:rsidR="00171FA8" w:rsidRDefault="00A31BA2" w:rsidP="00C16265">
            <w:pPr>
              <w:pStyle w:val="Body"/>
              <w:spacing w:after="0" w:line="240" w:lineRule="auto"/>
              <w:rPr>
                <w:rFonts w:ascii="Arial" w:hAnsi="Arial" w:cs="Arial"/>
                <w:b/>
                <w:bCs/>
                <w:sz w:val="24"/>
                <w:szCs w:val="24"/>
                <w:lang w:val="en-US"/>
              </w:rPr>
            </w:pPr>
            <w:r>
              <w:rPr>
                <w:rFonts w:ascii="Arial" w:hAnsi="Arial" w:cs="Arial"/>
                <w:b/>
                <w:bCs/>
                <w:sz w:val="24"/>
                <w:szCs w:val="24"/>
                <w:lang w:val="en-US"/>
              </w:rPr>
              <w:t>Key Risk Review</w:t>
            </w:r>
          </w:p>
        </w:tc>
      </w:tr>
      <w:tr w:rsidR="00171FA8" w:rsidTr="00794324">
        <w:trPr>
          <w:trHeight w:val="1672"/>
        </w:trPr>
        <w:tc>
          <w:tcPr>
            <w:tcW w:w="9531" w:type="dxa"/>
            <w:gridSpan w:val="4"/>
            <w:tcBorders>
              <w:top w:val="nil"/>
              <w:left w:val="nil"/>
              <w:bottom w:val="nil"/>
              <w:right w:val="nil"/>
            </w:tcBorders>
            <w:shd w:val="clear" w:color="auto" w:fill="auto"/>
            <w:tcMar>
              <w:top w:w="80" w:type="dxa"/>
              <w:left w:w="80" w:type="dxa"/>
              <w:bottom w:w="80" w:type="dxa"/>
              <w:right w:w="80" w:type="dxa"/>
            </w:tcMar>
          </w:tcPr>
          <w:p w:rsidR="00171FA8" w:rsidRPr="00F805C2" w:rsidRDefault="004F4E30" w:rsidP="00620B62">
            <w:pPr>
              <w:pStyle w:val="Body"/>
              <w:spacing w:after="0" w:line="240" w:lineRule="auto"/>
              <w:rPr>
                <w:rFonts w:ascii="Arial" w:hAnsi="Arial" w:cs="Arial"/>
                <w:bCs/>
                <w:sz w:val="24"/>
                <w:szCs w:val="24"/>
                <w:lang w:val="en-US"/>
              </w:rPr>
            </w:pPr>
            <w:r w:rsidRPr="00F805C2">
              <w:rPr>
                <w:rFonts w:ascii="Arial" w:hAnsi="Arial" w:cs="Arial"/>
                <w:bCs/>
                <w:sz w:val="24"/>
                <w:szCs w:val="24"/>
                <w:lang w:val="en-US"/>
              </w:rPr>
              <w:t xml:space="preserve">The </w:t>
            </w:r>
            <w:r w:rsidR="00102B7E" w:rsidRPr="00F805C2">
              <w:rPr>
                <w:rFonts w:ascii="Arial" w:hAnsi="Arial" w:cs="Arial"/>
                <w:bCs/>
                <w:sz w:val="24"/>
                <w:szCs w:val="24"/>
                <w:lang w:val="en-US"/>
              </w:rPr>
              <w:t xml:space="preserve">Executive </w:t>
            </w:r>
            <w:r w:rsidRPr="00F805C2">
              <w:rPr>
                <w:rFonts w:ascii="Arial" w:hAnsi="Arial" w:cs="Arial"/>
                <w:bCs/>
                <w:sz w:val="24"/>
                <w:szCs w:val="24"/>
                <w:lang w:val="en-US"/>
              </w:rPr>
              <w:t xml:space="preserve">Director of Finance presented the report. It was confirmed that the report is a live document and </w:t>
            </w:r>
            <w:r w:rsidR="00102B7E" w:rsidRPr="00F805C2">
              <w:rPr>
                <w:rFonts w:ascii="Arial" w:hAnsi="Arial" w:cs="Arial"/>
                <w:bCs/>
                <w:sz w:val="24"/>
                <w:szCs w:val="24"/>
                <w:lang w:val="en-US"/>
              </w:rPr>
              <w:t>that the academic r</w:t>
            </w:r>
            <w:r w:rsidRPr="00F805C2">
              <w:rPr>
                <w:rFonts w:ascii="Arial" w:hAnsi="Arial" w:cs="Arial"/>
                <w:bCs/>
                <w:sz w:val="24"/>
                <w:szCs w:val="24"/>
                <w:lang w:val="en-US"/>
              </w:rPr>
              <w:t xml:space="preserve">isks </w:t>
            </w:r>
            <w:r w:rsidR="00102B7E" w:rsidRPr="00F805C2">
              <w:rPr>
                <w:rFonts w:ascii="Arial" w:hAnsi="Arial" w:cs="Arial"/>
                <w:bCs/>
                <w:sz w:val="24"/>
                <w:szCs w:val="24"/>
                <w:lang w:val="en-US"/>
              </w:rPr>
              <w:t xml:space="preserve">have been recently reviewed in </w:t>
            </w:r>
            <w:r w:rsidRPr="00F805C2">
              <w:rPr>
                <w:rFonts w:ascii="Arial" w:hAnsi="Arial" w:cs="Arial"/>
                <w:bCs/>
                <w:sz w:val="24"/>
                <w:szCs w:val="24"/>
                <w:lang w:val="en-US"/>
              </w:rPr>
              <w:t>QSA</w:t>
            </w:r>
            <w:r w:rsidR="00102B7E" w:rsidRPr="00F805C2">
              <w:rPr>
                <w:rFonts w:ascii="Arial" w:hAnsi="Arial" w:cs="Arial"/>
                <w:bCs/>
                <w:sz w:val="24"/>
                <w:szCs w:val="24"/>
                <w:lang w:val="en-US"/>
              </w:rPr>
              <w:t xml:space="preserve"> Committee</w:t>
            </w:r>
            <w:r w:rsidRPr="00F805C2">
              <w:rPr>
                <w:rFonts w:ascii="Arial" w:hAnsi="Arial" w:cs="Arial"/>
                <w:bCs/>
                <w:sz w:val="24"/>
                <w:szCs w:val="24"/>
                <w:lang w:val="en-US"/>
              </w:rPr>
              <w:t>.</w:t>
            </w:r>
          </w:p>
          <w:p w:rsidR="004F4E30" w:rsidRPr="00F805C2" w:rsidRDefault="004F4E30" w:rsidP="00620B62">
            <w:pPr>
              <w:pStyle w:val="Body"/>
              <w:spacing w:after="0" w:line="240" w:lineRule="auto"/>
              <w:rPr>
                <w:rFonts w:ascii="Arial" w:hAnsi="Arial" w:cs="Arial"/>
                <w:bCs/>
                <w:sz w:val="24"/>
                <w:szCs w:val="24"/>
                <w:lang w:val="en-US"/>
              </w:rPr>
            </w:pPr>
          </w:p>
          <w:p w:rsidR="004F4E30" w:rsidRPr="00F805C2" w:rsidRDefault="004F4E30" w:rsidP="00102B7E">
            <w:pPr>
              <w:pStyle w:val="Body"/>
              <w:spacing w:after="0" w:line="240" w:lineRule="auto"/>
              <w:rPr>
                <w:rFonts w:ascii="Arial" w:hAnsi="Arial" w:cs="Arial"/>
                <w:bCs/>
                <w:sz w:val="24"/>
                <w:szCs w:val="24"/>
                <w:lang w:val="en-US"/>
              </w:rPr>
            </w:pPr>
            <w:r w:rsidRPr="00F805C2">
              <w:rPr>
                <w:rFonts w:ascii="Arial" w:hAnsi="Arial" w:cs="Arial"/>
                <w:bCs/>
                <w:sz w:val="24"/>
                <w:szCs w:val="24"/>
                <w:lang w:val="en-US"/>
              </w:rPr>
              <w:t xml:space="preserve">Ten inherent risks </w:t>
            </w:r>
            <w:r w:rsidR="00B2668B" w:rsidRPr="00F805C2">
              <w:rPr>
                <w:rFonts w:ascii="Arial" w:hAnsi="Arial" w:cs="Arial"/>
                <w:bCs/>
                <w:sz w:val="24"/>
                <w:szCs w:val="24"/>
                <w:lang w:val="en-US"/>
              </w:rPr>
              <w:t xml:space="preserve">remain but </w:t>
            </w:r>
            <w:r w:rsidR="00102B7E" w:rsidRPr="00F805C2">
              <w:rPr>
                <w:rFonts w:ascii="Arial" w:hAnsi="Arial" w:cs="Arial"/>
                <w:bCs/>
                <w:sz w:val="24"/>
                <w:szCs w:val="24"/>
                <w:lang w:val="en-US"/>
              </w:rPr>
              <w:t>with 2 increasing and 2 reducing.</w:t>
            </w:r>
          </w:p>
          <w:p w:rsidR="004F4E30" w:rsidRPr="00F805C2" w:rsidRDefault="004F4E30" w:rsidP="00620B62">
            <w:pPr>
              <w:pStyle w:val="Body"/>
              <w:spacing w:after="0" w:line="240" w:lineRule="auto"/>
              <w:rPr>
                <w:rFonts w:ascii="Arial" w:hAnsi="Arial" w:cs="Arial"/>
                <w:bCs/>
                <w:sz w:val="24"/>
                <w:szCs w:val="24"/>
                <w:lang w:val="en-US"/>
              </w:rPr>
            </w:pPr>
          </w:p>
          <w:p w:rsidR="004F4E30" w:rsidRPr="00F805C2" w:rsidRDefault="00102B7E" w:rsidP="00620B62">
            <w:pPr>
              <w:pStyle w:val="Body"/>
              <w:spacing w:after="0" w:line="240" w:lineRule="auto"/>
              <w:rPr>
                <w:rFonts w:ascii="Arial" w:hAnsi="Arial" w:cs="Arial"/>
                <w:bCs/>
                <w:sz w:val="24"/>
                <w:szCs w:val="24"/>
                <w:lang w:val="en-US"/>
              </w:rPr>
            </w:pPr>
            <w:r w:rsidRPr="00F805C2">
              <w:rPr>
                <w:rFonts w:ascii="Arial" w:hAnsi="Arial" w:cs="Arial"/>
                <w:bCs/>
                <w:sz w:val="24"/>
                <w:szCs w:val="24"/>
                <w:lang w:val="en-US"/>
              </w:rPr>
              <w:t>It was noted that there is a s</w:t>
            </w:r>
            <w:r w:rsidR="004F4E30" w:rsidRPr="00F805C2">
              <w:rPr>
                <w:rFonts w:ascii="Arial" w:hAnsi="Arial" w:cs="Arial"/>
                <w:bCs/>
                <w:sz w:val="24"/>
                <w:szCs w:val="24"/>
                <w:lang w:val="en-US"/>
              </w:rPr>
              <w:t>eparate o</w:t>
            </w:r>
            <w:r w:rsidR="00B2668B" w:rsidRPr="00F805C2">
              <w:rPr>
                <w:rFonts w:ascii="Arial" w:hAnsi="Arial" w:cs="Arial"/>
                <w:bCs/>
                <w:sz w:val="24"/>
                <w:szCs w:val="24"/>
                <w:lang w:val="en-US"/>
              </w:rPr>
              <w:t>perational plan on Covid-19 sitting</w:t>
            </w:r>
            <w:r w:rsidR="004F4E30" w:rsidRPr="00F805C2">
              <w:rPr>
                <w:rFonts w:ascii="Arial" w:hAnsi="Arial" w:cs="Arial"/>
                <w:bCs/>
                <w:sz w:val="24"/>
                <w:szCs w:val="24"/>
                <w:lang w:val="en-US"/>
              </w:rPr>
              <w:t xml:space="preserve"> </w:t>
            </w:r>
            <w:r w:rsidR="00B2668B" w:rsidRPr="00F805C2">
              <w:rPr>
                <w:rFonts w:ascii="Arial" w:hAnsi="Arial" w:cs="Arial"/>
                <w:bCs/>
                <w:sz w:val="24"/>
                <w:szCs w:val="24"/>
                <w:lang w:val="en-US"/>
              </w:rPr>
              <w:t>outside the register but referenced in it.</w:t>
            </w:r>
          </w:p>
          <w:p w:rsidR="004F4E30" w:rsidRPr="00F805C2" w:rsidRDefault="004F4E30" w:rsidP="00620B62">
            <w:pPr>
              <w:pStyle w:val="Body"/>
              <w:spacing w:after="0" w:line="240" w:lineRule="auto"/>
              <w:rPr>
                <w:rFonts w:ascii="Arial" w:hAnsi="Arial" w:cs="Arial"/>
                <w:bCs/>
                <w:sz w:val="24"/>
                <w:szCs w:val="24"/>
                <w:lang w:val="en-US"/>
              </w:rPr>
            </w:pPr>
          </w:p>
          <w:p w:rsidR="004F4E30" w:rsidRPr="00F805C2" w:rsidRDefault="004F4E30" w:rsidP="00620B62">
            <w:pPr>
              <w:pStyle w:val="Body"/>
              <w:spacing w:after="0" w:line="240" w:lineRule="auto"/>
              <w:rPr>
                <w:rFonts w:ascii="Arial" w:hAnsi="Arial" w:cs="Arial"/>
                <w:bCs/>
                <w:sz w:val="24"/>
                <w:szCs w:val="24"/>
                <w:lang w:val="en-US"/>
              </w:rPr>
            </w:pPr>
            <w:r w:rsidRPr="00F46323">
              <w:rPr>
                <w:rFonts w:ascii="Arial" w:hAnsi="Arial" w:cs="Arial"/>
                <w:b/>
                <w:bCs/>
                <w:i/>
                <w:sz w:val="24"/>
                <w:szCs w:val="24"/>
                <w:lang w:val="en-US"/>
              </w:rPr>
              <w:t xml:space="preserve">The Committee raised the issue of the presentation of the risk register </w:t>
            </w:r>
            <w:r w:rsidR="0079561E" w:rsidRPr="00F46323">
              <w:rPr>
                <w:rFonts w:ascii="Arial" w:hAnsi="Arial" w:cs="Arial"/>
                <w:b/>
                <w:bCs/>
                <w:i/>
                <w:sz w:val="24"/>
                <w:szCs w:val="24"/>
                <w:lang w:val="en-US"/>
              </w:rPr>
              <w:t>in its current form</w:t>
            </w:r>
            <w:r w:rsidR="00F46323" w:rsidRPr="00F46323">
              <w:rPr>
                <w:rFonts w:ascii="Arial" w:hAnsi="Arial" w:cs="Arial"/>
                <w:b/>
                <w:bCs/>
                <w:i/>
                <w:sz w:val="24"/>
                <w:szCs w:val="24"/>
                <w:lang w:val="en-US"/>
              </w:rPr>
              <w:t xml:space="preserve"> and would like it to be reviewed to be more compatible with electronic papers</w:t>
            </w:r>
            <w:r w:rsidR="0079561E" w:rsidRPr="00F46323">
              <w:rPr>
                <w:rFonts w:ascii="Arial" w:hAnsi="Arial" w:cs="Arial"/>
                <w:b/>
                <w:bCs/>
                <w:i/>
                <w:sz w:val="24"/>
                <w:szCs w:val="24"/>
                <w:lang w:val="en-US"/>
              </w:rPr>
              <w:t>.</w:t>
            </w:r>
            <w:r w:rsidR="0079561E" w:rsidRPr="00F805C2">
              <w:rPr>
                <w:rFonts w:ascii="Arial" w:hAnsi="Arial" w:cs="Arial"/>
                <w:bCs/>
                <w:sz w:val="24"/>
                <w:szCs w:val="24"/>
                <w:lang w:val="en-US"/>
              </w:rPr>
              <w:t xml:space="preserve"> Online presentation was noted to be problematic. The challenges were </w:t>
            </w:r>
            <w:r w:rsidRPr="00F805C2">
              <w:rPr>
                <w:rFonts w:ascii="Arial" w:hAnsi="Arial" w:cs="Arial"/>
                <w:bCs/>
                <w:sz w:val="24"/>
                <w:szCs w:val="24"/>
                <w:lang w:val="en-US"/>
              </w:rPr>
              <w:t xml:space="preserve">acknowledged </w:t>
            </w:r>
            <w:r w:rsidR="0079561E" w:rsidRPr="00F805C2">
              <w:rPr>
                <w:rFonts w:ascii="Arial" w:hAnsi="Arial" w:cs="Arial"/>
                <w:bCs/>
                <w:sz w:val="24"/>
                <w:szCs w:val="24"/>
                <w:lang w:val="en-US"/>
              </w:rPr>
              <w:t xml:space="preserve">but </w:t>
            </w:r>
            <w:r w:rsidR="00F805C2" w:rsidRPr="00F805C2">
              <w:rPr>
                <w:rFonts w:ascii="Arial" w:hAnsi="Arial" w:cs="Arial"/>
                <w:bCs/>
                <w:sz w:val="24"/>
                <w:szCs w:val="24"/>
                <w:lang w:val="en-US"/>
              </w:rPr>
              <w:t>barriers to change were explained to include the familiarity of management with the current form and resource involved in establishing a new system.</w:t>
            </w:r>
          </w:p>
          <w:p w:rsidR="004F4E30" w:rsidRPr="00F805C2" w:rsidRDefault="004F4E30" w:rsidP="00620B62">
            <w:pPr>
              <w:pStyle w:val="Body"/>
              <w:spacing w:after="0" w:line="240" w:lineRule="auto"/>
              <w:rPr>
                <w:rFonts w:ascii="Arial" w:hAnsi="Arial" w:cs="Arial"/>
                <w:bCs/>
                <w:sz w:val="24"/>
                <w:szCs w:val="24"/>
                <w:lang w:val="en-US"/>
              </w:rPr>
            </w:pPr>
          </w:p>
          <w:p w:rsidR="004F4E30" w:rsidRPr="00F805C2" w:rsidRDefault="00F805C2" w:rsidP="00620B62">
            <w:pPr>
              <w:pStyle w:val="Body"/>
              <w:spacing w:after="0" w:line="240" w:lineRule="auto"/>
              <w:rPr>
                <w:rFonts w:ascii="Arial" w:hAnsi="Arial" w:cs="Arial"/>
                <w:b/>
                <w:bCs/>
                <w:i/>
                <w:sz w:val="24"/>
                <w:szCs w:val="24"/>
                <w:lang w:val="en-US"/>
              </w:rPr>
            </w:pPr>
            <w:r w:rsidRPr="00F805C2">
              <w:rPr>
                <w:rFonts w:ascii="Arial" w:hAnsi="Arial" w:cs="Arial"/>
                <w:b/>
                <w:bCs/>
                <w:i/>
                <w:sz w:val="24"/>
                <w:szCs w:val="24"/>
                <w:lang w:val="en-US"/>
              </w:rPr>
              <w:t>The Committee asked that the r</w:t>
            </w:r>
            <w:r w:rsidR="004F4E30" w:rsidRPr="00F805C2">
              <w:rPr>
                <w:rFonts w:ascii="Arial" w:hAnsi="Arial" w:cs="Arial"/>
                <w:b/>
                <w:bCs/>
                <w:i/>
                <w:sz w:val="24"/>
                <w:szCs w:val="24"/>
                <w:lang w:val="en-US"/>
              </w:rPr>
              <w:t xml:space="preserve">isk </w:t>
            </w:r>
            <w:r w:rsidRPr="00F805C2">
              <w:rPr>
                <w:rFonts w:ascii="Arial" w:hAnsi="Arial" w:cs="Arial"/>
                <w:b/>
                <w:bCs/>
                <w:i/>
                <w:sz w:val="24"/>
                <w:szCs w:val="24"/>
                <w:lang w:val="en-US"/>
              </w:rPr>
              <w:t xml:space="preserve">at </w:t>
            </w:r>
            <w:r w:rsidR="004F4E30" w:rsidRPr="00F805C2">
              <w:rPr>
                <w:rFonts w:ascii="Arial" w:hAnsi="Arial" w:cs="Arial"/>
                <w:b/>
                <w:bCs/>
                <w:i/>
                <w:sz w:val="24"/>
                <w:szCs w:val="24"/>
                <w:lang w:val="en-US"/>
              </w:rPr>
              <w:t>A1</w:t>
            </w:r>
            <w:r w:rsidRPr="00F805C2">
              <w:rPr>
                <w:rFonts w:ascii="Arial" w:hAnsi="Arial" w:cs="Arial"/>
                <w:b/>
                <w:bCs/>
                <w:i/>
                <w:sz w:val="24"/>
                <w:szCs w:val="24"/>
                <w:lang w:val="en-US"/>
              </w:rPr>
              <w:t xml:space="preserve"> is reviewed as the</w:t>
            </w:r>
            <w:r w:rsidR="004F4E30" w:rsidRPr="00F805C2">
              <w:rPr>
                <w:rFonts w:ascii="Arial" w:hAnsi="Arial" w:cs="Arial"/>
                <w:b/>
                <w:bCs/>
                <w:i/>
                <w:sz w:val="24"/>
                <w:szCs w:val="24"/>
                <w:lang w:val="en-US"/>
              </w:rPr>
              <w:t xml:space="preserve"> score remains the same following mitigation</w:t>
            </w:r>
            <w:r w:rsidRPr="00F805C2">
              <w:rPr>
                <w:rFonts w:ascii="Arial" w:hAnsi="Arial" w:cs="Arial"/>
                <w:b/>
                <w:bCs/>
                <w:i/>
                <w:sz w:val="24"/>
                <w:szCs w:val="24"/>
                <w:lang w:val="en-US"/>
              </w:rPr>
              <w:t>, indicating the mitigation is considered ineffective</w:t>
            </w:r>
            <w:r w:rsidR="004F4E30" w:rsidRPr="00F805C2">
              <w:rPr>
                <w:rFonts w:ascii="Arial" w:hAnsi="Arial" w:cs="Arial"/>
                <w:b/>
                <w:bCs/>
                <w:i/>
                <w:sz w:val="24"/>
                <w:szCs w:val="24"/>
                <w:lang w:val="en-US"/>
              </w:rPr>
              <w:t>.</w:t>
            </w:r>
          </w:p>
          <w:p w:rsidR="004F4E30" w:rsidRPr="00F805C2" w:rsidRDefault="004F4E30" w:rsidP="00620B62">
            <w:pPr>
              <w:pStyle w:val="Body"/>
              <w:spacing w:after="0" w:line="240" w:lineRule="auto"/>
              <w:rPr>
                <w:rFonts w:ascii="Arial" w:hAnsi="Arial" w:cs="Arial"/>
                <w:b/>
                <w:bCs/>
                <w:i/>
                <w:sz w:val="24"/>
                <w:szCs w:val="24"/>
                <w:lang w:val="en-US"/>
              </w:rPr>
            </w:pPr>
          </w:p>
          <w:p w:rsidR="004F4E30" w:rsidRPr="00F805C2" w:rsidRDefault="004F4E30" w:rsidP="00620B62">
            <w:pPr>
              <w:pStyle w:val="Body"/>
              <w:spacing w:after="0" w:line="240" w:lineRule="auto"/>
              <w:rPr>
                <w:rFonts w:ascii="Arial" w:hAnsi="Arial" w:cs="Arial"/>
                <w:bCs/>
                <w:sz w:val="24"/>
                <w:szCs w:val="24"/>
                <w:lang w:val="en-US"/>
              </w:rPr>
            </w:pPr>
            <w:r w:rsidRPr="00F805C2">
              <w:rPr>
                <w:rFonts w:ascii="Arial" w:hAnsi="Arial" w:cs="Arial"/>
                <w:bCs/>
                <w:sz w:val="24"/>
                <w:szCs w:val="24"/>
                <w:lang w:val="en-US"/>
              </w:rPr>
              <w:t>The view was expressed that a s</w:t>
            </w:r>
            <w:r w:rsidR="00F805C2" w:rsidRPr="00F805C2">
              <w:rPr>
                <w:rFonts w:ascii="Arial" w:hAnsi="Arial" w:cs="Arial"/>
                <w:bCs/>
                <w:sz w:val="24"/>
                <w:szCs w:val="24"/>
                <w:lang w:val="en-US"/>
              </w:rPr>
              <w:t xml:space="preserve">eparate </w:t>
            </w:r>
            <w:proofErr w:type="spellStart"/>
            <w:r w:rsidR="00F805C2" w:rsidRPr="00F805C2">
              <w:rPr>
                <w:rFonts w:ascii="Arial" w:hAnsi="Arial" w:cs="Arial"/>
                <w:bCs/>
                <w:sz w:val="24"/>
                <w:szCs w:val="24"/>
                <w:lang w:val="en-US"/>
              </w:rPr>
              <w:t>Covid</w:t>
            </w:r>
            <w:proofErr w:type="spellEnd"/>
            <w:r w:rsidR="00F805C2" w:rsidRPr="00F805C2">
              <w:rPr>
                <w:rFonts w:ascii="Arial" w:hAnsi="Arial" w:cs="Arial"/>
                <w:bCs/>
                <w:sz w:val="24"/>
                <w:szCs w:val="24"/>
                <w:lang w:val="en-US"/>
              </w:rPr>
              <w:t xml:space="preserve"> -19 risk register might enable more effective monitoring of the impact on</w:t>
            </w:r>
            <w:r w:rsidRPr="00F805C2">
              <w:rPr>
                <w:rFonts w:ascii="Arial" w:hAnsi="Arial" w:cs="Arial"/>
                <w:bCs/>
                <w:sz w:val="24"/>
                <w:szCs w:val="24"/>
                <w:lang w:val="en-US"/>
              </w:rPr>
              <w:t xml:space="preserve"> finances, frau</w:t>
            </w:r>
            <w:r w:rsidR="008449D0">
              <w:rPr>
                <w:rFonts w:ascii="Arial" w:hAnsi="Arial" w:cs="Arial"/>
                <w:bCs/>
                <w:sz w:val="24"/>
                <w:szCs w:val="24"/>
                <w:lang w:val="en-US"/>
              </w:rPr>
              <w:t>d, sustainability and</w:t>
            </w:r>
            <w:r w:rsidR="00F805C2" w:rsidRPr="00F805C2">
              <w:rPr>
                <w:rFonts w:ascii="Arial" w:hAnsi="Arial" w:cs="Arial"/>
                <w:bCs/>
                <w:sz w:val="24"/>
                <w:szCs w:val="24"/>
                <w:lang w:val="en-US"/>
              </w:rPr>
              <w:t xml:space="preserve"> safeguarding. It was explained that since lockdown the Search &amp; Governance Committee have monitored progress on the operational plan and the College’s response through monthly executive updates which the Chair has then circulated to the Board.</w:t>
            </w:r>
          </w:p>
          <w:p w:rsidR="004F4E30" w:rsidRPr="00F805C2" w:rsidRDefault="004F4E30" w:rsidP="00620B62">
            <w:pPr>
              <w:pStyle w:val="Body"/>
              <w:spacing w:after="0" w:line="240" w:lineRule="auto"/>
              <w:rPr>
                <w:rFonts w:ascii="Arial" w:hAnsi="Arial" w:cs="Arial"/>
                <w:bCs/>
                <w:sz w:val="24"/>
                <w:szCs w:val="24"/>
                <w:lang w:val="en-US"/>
              </w:rPr>
            </w:pPr>
          </w:p>
          <w:p w:rsidR="007F6BBF" w:rsidRDefault="00F805C2" w:rsidP="00620B62">
            <w:pPr>
              <w:pStyle w:val="Body"/>
              <w:spacing w:after="0" w:line="240" w:lineRule="auto"/>
              <w:rPr>
                <w:rFonts w:ascii="Arial" w:hAnsi="Arial" w:cs="Arial"/>
                <w:bCs/>
                <w:sz w:val="24"/>
                <w:szCs w:val="24"/>
                <w:lang w:val="en-US"/>
              </w:rPr>
            </w:pPr>
            <w:r>
              <w:rPr>
                <w:rFonts w:ascii="Arial" w:hAnsi="Arial" w:cs="Arial"/>
                <w:bCs/>
                <w:sz w:val="24"/>
                <w:szCs w:val="24"/>
                <w:lang w:val="en-US"/>
              </w:rPr>
              <w:t xml:space="preserve">The </w:t>
            </w:r>
            <w:r w:rsidR="004F4E30" w:rsidRPr="00F805C2">
              <w:rPr>
                <w:rFonts w:ascii="Arial" w:hAnsi="Arial" w:cs="Arial"/>
                <w:bCs/>
                <w:sz w:val="24"/>
                <w:szCs w:val="24"/>
                <w:lang w:val="en-US"/>
              </w:rPr>
              <w:t xml:space="preserve">Committee was keen to see the Risk Register </w:t>
            </w:r>
            <w:r>
              <w:rPr>
                <w:rFonts w:ascii="Arial" w:hAnsi="Arial" w:cs="Arial"/>
                <w:bCs/>
                <w:sz w:val="24"/>
                <w:szCs w:val="24"/>
                <w:lang w:val="en-US"/>
              </w:rPr>
              <w:t>reflect the current environment but acknowledged that the size of the register should be proactively managed</w:t>
            </w:r>
            <w:r w:rsidR="00E957D1">
              <w:rPr>
                <w:rFonts w:ascii="Arial" w:hAnsi="Arial" w:cs="Arial"/>
                <w:bCs/>
                <w:sz w:val="24"/>
                <w:szCs w:val="24"/>
                <w:lang w:val="en-US"/>
              </w:rPr>
              <w:t xml:space="preserve"> so </w:t>
            </w:r>
            <w:r w:rsidR="00A11283">
              <w:rPr>
                <w:rFonts w:ascii="Arial" w:hAnsi="Arial" w:cs="Arial"/>
                <w:bCs/>
                <w:sz w:val="24"/>
                <w:szCs w:val="24"/>
                <w:lang w:val="en-US"/>
              </w:rPr>
              <w:t>that key risks are monitored</w:t>
            </w:r>
            <w:r>
              <w:rPr>
                <w:rFonts w:ascii="Arial" w:hAnsi="Arial" w:cs="Arial"/>
                <w:bCs/>
                <w:sz w:val="24"/>
                <w:szCs w:val="24"/>
                <w:lang w:val="en-US"/>
              </w:rPr>
              <w:t>. An opportunities register is also being developed by the Executive.</w:t>
            </w:r>
          </w:p>
          <w:p w:rsidR="00F805C2" w:rsidRPr="00F805C2" w:rsidRDefault="00F805C2" w:rsidP="00620B62">
            <w:pPr>
              <w:pStyle w:val="Body"/>
              <w:spacing w:after="0" w:line="240" w:lineRule="auto"/>
              <w:rPr>
                <w:rFonts w:ascii="Arial" w:hAnsi="Arial" w:cs="Arial"/>
                <w:bCs/>
                <w:sz w:val="24"/>
                <w:szCs w:val="24"/>
                <w:lang w:val="en-US"/>
              </w:rPr>
            </w:pPr>
          </w:p>
          <w:p w:rsidR="007F6BBF" w:rsidRDefault="00F805C2" w:rsidP="00620B62">
            <w:pPr>
              <w:pStyle w:val="Body"/>
              <w:spacing w:after="0" w:line="240" w:lineRule="auto"/>
              <w:rPr>
                <w:rFonts w:ascii="Arial" w:hAnsi="Arial" w:cs="Arial"/>
                <w:bCs/>
                <w:sz w:val="24"/>
                <w:szCs w:val="24"/>
                <w:lang w:val="en-US"/>
              </w:rPr>
            </w:pPr>
            <w:r>
              <w:rPr>
                <w:rFonts w:ascii="Arial" w:hAnsi="Arial" w:cs="Arial"/>
                <w:bCs/>
                <w:sz w:val="24"/>
                <w:szCs w:val="24"/>
                <w:lang w:val="en-US"/>
              </w:rPr>
              <w:t xml:space="preserve">Further assurance was given that </w:t>
            </w:r>
            <w:r w:rsidR="00A11283">
              <w:rPr>
                <w:rFonts w:ascii="Arial" w:hAnsi="Arial" w:cs="Arial"/>
                <w:bCs/>
                <w:sz w:val="24"/>
                <w:szCs w:val="24"/>
                <w:lang w:val="en-US"/>
              </w:rPr>
              <w:t>KPIs,</w:t>
            </w:r>
            <w:r>
              <w:rPr>
                <w:rFonts w:ascii="Arial" w:hAnsi="Arial" w:cs="Arial"/>
                <w:bCs/>
                <w:sz w:val="24"/>
                <w:szCs w:val="24"/>
                <w:lang w:val="en-US"/>
              </w:rPr>
              <w:t xml:space="preserve"> and </w:t>
            </w:r>
            <w:r w:rsidR="0027326B">
              <w:rPr>
                <w:rFonts w:ascii="Arial" w:hAnsi="Arial" w:cs="Arial"/>
                <w:bCs/>
                <w:sz w:val="24"/>
                <w:szCs w:val="24"/>
                <w:lang w:val="en-US"/>
              </w:rPr>
              <w:t xml:space="preserve">the responsiveness of the financial models to allow costs to be flexed </w:t>
            </w:r>
            <w:r w:rsidR="00A11283">
              <w:rPr>
                <w:rFonts w:ascii="Arial" w:hAnsi="Arial" w:cs="Arial"/>
                <w:bCs/>
                <w:sz w:val="24"/>
                <w:szCs w:val="24"/>
                <w:lang w:val="en-US"/>
              </w:rPr>
              <w:t>to changes in income, enable the College to adapt to changes required to ensure sustainability.</w:t>
            </w:r>
          </w:p>
          <w:p w:rsidR="00B23077" w:rsidRDefault="00B23077" w:rsidP="00620B62">
            <w:pPr>
              <w:pStyle w:val="Body"/>
              <w:spacing w:after="0" w:line="240" w:lineRule="auto"/>
              <w:rPr>
                <w:rFonts w:ascii="Arial" w:hAnsi="Arial" w:cs="Arial"/>
                <w:b/>
                <w:bCs/>
                <w:sz w:val="24"/>
                <w:szCs w:val="24"/>
                <w:lang w:val="en-US"/>
              </w:rPr>
            </w:pPr>
          </w:p>
          <w:p w:rsidR="00B23077" w:rsidRPr="00A11283" w:rsidRDefault="00A11283" w:rsidP="00620B62">
            <w:pPr>
              <w:pStyle w:val="Body"/>
              <w:spacing w:after="0" w:line="240" w:lineRule="auto"/>
              <w:rPr>
                <w:rFonts w:ascii="Arial" w:hAnsi="Arial" w:cs="Arial"/>
                <w:bCs/>
                <w:sz w:val="24"/>
                <w:szCs w:val="24"/>
                <w:lang w:val="en-US"/>
              </w:rPr>
            </w:pPr>
            <w:r w:rsidRPr="00A11283">
              <w:rPr>
                <w:rFonts w:ascii="Arial" w:hAnsi="Arial" w:cs="Arial"/>
                <w:bCs/>
                <w:sz w:val="24"/>
                <w:szCs w:val="24"/>
                <w:lang w:val="en-US"/>
              </w:rPr>
              <w:t>The Committee further discussed early feedback on the s</w:t>
            </w:r>
            <w:r w:rsidR="00B23077" w:rsidRPr="00A11283">
              <w:rPr>
                <w:rFonts w:ascii="Arial" w:hAnsi="Arial" w:cs="Arial"/>
                <w:bCs/>
                <w:sz w:val="24"/>
                <w:szCs w:val="24"/>
                <w:lang w:val="en-US"/>
              </w:rPr>
              <w:t xml:space="preserve">tudent </w:t>
            </w:r>
            <w:r w:rsidRPr="00A11283">
              <w:rPr>
                <w:rFonts w:ascii="Arial" w:hAnsi="Arial" w:cs="Arial"/>
                <w:bCs/>
                <w:sz w:val="24"/>
                <w:szCs w:val="24"/>
                <w:lang w:val="en-US"/>
              </w:rPr>
              <w:t>experience of remote learning and the likely impact on</w:t>
            </w:r>
            <w:r w:rsidR="00B23077" w:rsidRPr="00A11283">
              <w:rPr>
                <w:rFonts w:ascii="Arial" w:hAnsi="Arial" w:cs="Arial"/>
                <w:bCs/>
                <w:sz w:val="24"/>
                <w:szCs w:val="24"/>
                <w:lang w:val="en-US"/>
              </w:rPr>
              <w:t xml:space="preserve"> retention rates</w:t>
            </w:r>
            <w:r w:rsidRPr="00A11283">
              <w:rPr>
                <w:rFonts w:ascii="Arial" w:hAnsi="Arial" w:cs="Arial"/>
                <w:bCs/>
                <w:sz w:val="24"/>
                <w:szCs w:val="24"/>
                <w:lang w:val="en-US"/>
              </w:rPr>
              <w:t xml:space="preserve"> as well as space utilization and</w:t>
            </w:r>
            <w:r w:rsidR="00B23077" w:rsidRPr="00A11283">
              <w:rPr>
                <w:rFonts w:ascii="Arial" w:hAnsi="Arial" w:cs="Arial"/>
                <w:bCs/>
                <w:sz w:val="24"/>
                <w:szCs w:val="24"/>
                <w:lang w:val="en-US"/>
              </w:rPr>
              <w:t xml:space="preserve"> capital investment</w:t>
            </w:r>
            <w:r w:rsidRPr="00A11283">
              <w:rPr>
                <w:rFonts w:ascii="Arial" w:hAnsi="Arial" w:cs="Arial"/>
                <w:bCs/>
                <w:sz w:val="24"/>
                <w:szCs w:val="24"/>
                <w:lang w:val="en-US"/>
              </w:rPr>
              <w:t xml:space="preserve"> required to support new models.</w:t>
            </w:r>
          </w:p>
          <w:p w:rsidR="00AC6CA5" w:rsidRPr="00A11283" w:rsidRDefault="00AC6CA5" w:rsidP="00620B62">
            <w:pPr>
              <w:pStyle w:val="Body"/>
              <w:spacing w:after="0" w:line="240" w:lineRule="auto"/>
              <w:rPr>
                <w:rFonts w:ascii="Arial" w:hAnsi="Arial" w:cs="Arial"/>
                <w:bCs/>
                <w:sz w:val="24"/>
                <w:szCs w:val="24"/>
                <w:lang w:val="en-US"/>
              </w:rPr>
            </w:pPr>
          </w:p>
          <w:p w:rsidR="00AC6CA5" w:rsidRPr="00A11283" w:rsidRDefault="00A11283" w:rsidP="00620B62">
            <w:pPr>
              <w:pStyle w:val="Body"/>
              <w:spacing w:after="0" w:line="240" w:lineRule="auto"/>
              <w:rPr>
                <w:rFonts w:ascii="Arial" w:hAnsi="Arial" w:cs="Arial"/>
                <w:bCs/>
                <w:sz w:val="24"/>
                <w:szCs w:val="24"/>
                <w:lang w:val="en-US"/>
              </w:rPr>
            </w:pPr>
            <w:r w:rsidRPr="00A11283">
              <w:rPr>
                <w:rFonts w:ascii="Arial" w:hAnsi="Arial" w:cs="Arial"/>
                <w:bCs/>
                <w:sz w:val="24"/>
                <w:szCs w:val="24"/>
                <w:lang w:val="en-US"/>
              </w:rPr>
              <w:t>The Principal expressed confidence on recruitment numbers but acknowledged</w:t>
            </w:r>
            <w:r w:rsidR="00AC6CA5" w:rsidRPr="00A11283">
              <w:rPr>
                <w:rFonts w:ascii="Arial" w:hAnsi="Arial" w:cs="Arial"/>
                <w:bCs/>
                <w:sz w:val="24"/>
                <w:szCs w:val="24"/>
                <w:lang w:val="en-US"/>
              </w:rPr>
              <w:t xml:space="preserve"> barriers on </w:t>
            </w:r>
            <w:r w:rsidRPr="00A11283">
              <w:rPr>
                <w:rFonts w:ascii="Arial" w:hAnsi="Arial" w:cs="Arial"/>
                <w:bCs/>
                <w:sz w:val="24"/>
                <w:szCs w:val="24"/>
                <w:lang w:val="en-US"/>
              </w:rPr>
              <w:t xml:space="preserve">student experience with a requirement for a 2 metre distance. Positive feedback on engagement with student services on line was however noted. </w:t>
            </w:r>
          </w:p>
          <w:p w:rsidR="00AC6CA5" w:rsidRPr="00A11283" w:rsidRDefault="00AC6CA5" w:rsidP="00620B62">
            <w:pPr>
              <w:pStyle w:val="Body"/>
              <w:spacing w:after="0" w:line="240" w:lineRule="auto"/>
              <w:rPr>
                <w:rFonts w:ascii="Arial" w:hAnsi="Arial" w:cs="Arial"/>
                <w:bCs/>
                <w:sz w:val="24"/>
                <w:szCs w:val="24"/>
                <w:lang w:val="en-US"/>
              </w:rPr>
            </w:pPr>
          </w:p>
          <w:p w:rsidR="00AC6CA5" w:rsidRPr="00A11283" w:rsidRDefault="00A11283" w:rsidP="00620B62">
            <w:pPr>
              <w:pStyle w:val="Body"/>
              <w:spacing w:after="0" w:line="240" w:lineRule="auto"/>
              <w:rPr>
                <w:rFonts w:ascii="Arial" w:hAnsi="Arial" w:cs="Arial"/>
                <w:bCs/>
                <w:sz w:val="24"/>
                <w:szCs w:val="24"/>
                <w:lang w:val="en-US"/>
              </w:rPr>
            </w:pPr>
            <w:r w:rsidRPr="00A11283">
              <w:rPr>
                <w:rFonts w:ascii="Arial" w:hAnsi="Arial" w:cs="Arial"/>
                <w:bCs/>
                <w:sz w:val="24"/>
                <w:szCs w:val="24"/>
                <w:lang w:val="en-US"/>
              </w:rPr>
              <w:t>The Committee asked if any insurance claims had been made or were possible to offset losses suffered. The Executive Director of Finance has met with the insurers and</w:t>
            </w:r>
            <w:r w:rsidR="00AC6CA5" w:rsidRPr="00A11283">
              <w:rPr>
                <w:rFonts w:ascii="Arial" w:hAnsi="Arial" w:cs="Arial"/>
                <w:bCs/>
                <w:sz w:val="24"/>
                <w:szCs w:val="24"/>
                <w:lang w:val="en-US"/>
              </w:rPr>
              <w:t xml:space="preserve"> efforts </w:t>
            </w:r>
            <w:r w:rsidRPr="00A11283">
              <w:rPr>
                <w:rFonts w:ascii="Arial" w:hAnsi="Arial" w:cs="Arial"/>
                <w:bCs/>
                <w:sz w:val="24"/>
                <w:szCs w:val="24"/>
                <w:lang w:val="en-US"/>
              </w:rPr>
              <w:t xml:space="preserve">have been made </w:t>
            </w:r>
            <w:r w:rsidR="00AC6CA5" w:rsidRPr="00A11283">
              <w:rPr>
                <w:rFonts w:ascii="Arial" w:hAnsi="Arial" w:cs="Arial"/>
                <w:bCs/>
                <w:sz w:val="24"/>
                <w:szCs w:val="24"/>
                <w:lang w:val="en-US"/>
              </w:rPr>
              <w:t>to mitigate</w:t>
            </w:r>
            <w:r w:rsidRPr="00A11283">
              <w:rPr>
                <w:rFonts w:ascii="Arial" w:hAnsi="Arial" w:cs="Arial"/>
                <w:bCs/>
                <w:sz w:val="24"/>
                <w:szCs w:val="24"/>
                <w:lang w:val="en-US"/>
              </w:rPr>
              <w:t xml:space="preserve"> losses. One of the biggest areas impacted has been trips. The I</w:t>
            </w:r>
            <w:r w:rsidR="00AC6CA5" w:rsidRPr="00A11283">
              <w:rPr>
                <w:rFonts w:ascii="Arial" w:hAnsi="Arial" w:cs="Arial"/>
                <w:bCs/>
                <w:sz w:val="24"/>
                <w:szCs w:val="24"/>
                <w:lang w:val="en-US"/>
              </w:rPr>
              <w:t xml:space="preserve">nsurers have </w:t>
            </w:r>
            <w:r w:rsidRPr="00A11283">
              <w:rPr>
                <w:rFonts w:ascii="Arial" w:hAnsi="Arial" w:cs="Arial"/>
                <w:bCs/>
                <w:sz w:val="24"/>
                <w:szCs w:val="24"/>
                <w:lang w:val="en-US"/>
              </w:rPr>
              <w:t xml:space="preserve">however </w:t>
            </w:r>
            <w:r w:rsidR="00AC6CA5" w:rsidRPr="00A11283">
              <w:rPr>
                <w:rFonts w:ascii="Arial" w:hAnsi="Arial" w:cs="Arial"/>
                <w:bCs/>
                <w:sz w:val="24"/>
                <w:szCs w:val="24"/>
                <w:lang w:val="en-US"/>
              </w:rPr>
              <w:t xml:space="preserve">committed </w:t>
            </w:r>
            <w:r w:rsidRPr="00A11283">
              <w:rPr>
                <w:rFonts w:ascii="Arial" w:hAnsi="Arial" w:cs="Arial"/>
                <w:bCs/>
                <w:sz w:val="24"/>
                <w:szCs w:val="24"/>
                <w:lang w:val="en-US"/>
              </w:rPr>
              <w:t xml:space="preserve">to reimburse the College </w:t>
            </w:r>
            <w:r w:rsidR="00AC6CA5" w:rsidRPr="00A11283">
              <w:rPr>
                <w:rFonts w:ascii="Arial" w:hAnsi="Arial" w:cs="Arial"/>
                <w:bCs/>
                <w:sz w:val="24"/>
                <w:szCs w:val="24"/>
                <w:lang w:val="en-US"/>
              </w:rPr>
              <w:t>provided the travel comp</w:t>
            </w:r>
            <w:r w:rsidRPr="00A11283">
              <w:rPr>
                <w:rFonts w:ascii="Arial" w:hAnsi="Arial" w:cs="Arial"/>
                <w:bCs/>
                <w:sz w:val="24"/>
                <w:szCs w:val="24"/>
                <w:lang w:val="en-US"/>
              </w:rPr>
              <w:t>anies have been challenged. The College has</w:t>
            </w:r>
            <w:r w:rsidR="00AC6CA5" w:rsidRPr="00A11283">
              <w:rPr>
                <w:rFonts w:ascii="Arial" w:hAnsi="Arial" w:cs="Arial"/>
                <w:bCs/>
                <w:sz w:val="24"/>
                <w:szCs w:val="24"/>
                <w:lang w:val="en-US"/>
              </w:rPr>
              <w:t xml:space="preserve"> not been able to recover commercial income. </w:t>
            </w:r>
            <w:r w:rsidR="008449D0">
              <w:rPr>
                <w:rFonts w:ascii="Arial" w:hAnsi="Arial" w:cs="Arial"/>
                <w:bCs/>
                <w:sz w:val="24"/>
                <w:szCs w:val="24"/>
                <w:lang w:val="en-US"/>
              </w:rPr>
              <w:t>The i</w:t>
            </w:r>
            <w:r w:rsidR="00AC6CA5" w:rsidRPr="00A11283">
              <w:rPr>
                <w:rFonts w:ascii="Arial" w:hAnsi="Arial" w:cs="Arial"/>
                <w:bCs/>
                <w:sz w:val="24"/>
                <w:szCs w:val="24"/>
                <w:lang w:val="en-US"/>
              </w:rPr>
              <w:t>nsurance contract was retendered 3 years ago</w:t>
            </w:r>
            <w:r w:rsidRPr="00A11283">
              <w:rPr>
                <w:rFonts w:ascii="Arial" w:hAnsi="Arial" w:cs="Arial"/>
                <w:bCs/>
                <w:sz w:val="24"/>
                <w:szCs w:val="24"/>
                <w:lang w:val="en-US"/>
              </w:rPr>
              <w:t xml:space="preserve"> and quotes are being sought. The Executive Director of Finance is looking at a longer term option due to the current uncertainties.</w:t>
            </w:r>
            <w:r w:rsidR="00AC6CA5" w:rsidRPr="00A11283">
              <w:rPr>
                <w:rFonts w:ascii="Arial" w:hAnsi="Arial" w:cs="Arial"/>
                <w:bCs/>
                <w:sz w:val="24"/>
                <w:szCs w:val="24"/>
                <w:lang w:val="en-US"/>
              </w:rPr>
              <w:t xml:space="preserve"> </w:t>
            </w:r>
          </w:p>
          <w:p w:rsidR="004F4E30" w:rsidRPr="00A11283" w:rsidRDefault="004F4E30" w:rsidP="00620B62">
            <w:pPr>
              <w:pStyle w:val="Body"/>
              <w:spacing w:after="0" w:line="240" w:lineRule="auto"/>
              <w:rPr>
                <w:rFonts w:ascii="Arial" w:hAnsi="Arial" w:cs="Arial"/>
                <w:bCs/>
                <w:sz w:val="24"/>
                <w:szCs w:val="24"/>
                <w:lang w:val="en-US"/>
              </w:rPr>
            </w:pPr>
          </w:p>
          <w:p w:rsidR="004F4E30" w:rsidRDefault="00A11283" w:rsidP="00620B62">
            <w:pPr>
              <w:pStyle w:val="Body"/>
              <w:spacing w:after="0" w:line="240" w:lineRule="auto"/>
              <w:rPr>
                <w:rFonts w:ascii="Arial" w:hAnsi="Arial" w:cs="Arial"/>
                <w:b/>
                <w:bCs/>
                <w:sz w:val="24"/>
                <w:szCs w:val="24"/>
                <w:lang w:val="en-US"/>
              </w:rPr>
            </w:pPr>
            <w:r>
              <w:rPr>
                <w:rFonts w:ascii="Arial" w:hAnsi="Arial" w:cs="Arial"/>
                <w:b/>
                <w:bCs/>
                <w:sz w:val="24"/>
                <w:szCs w:val="24"/>
                <w:lang w:val="en-US"/>
              </w:rPr>
              <w:t>The Risk Register was noted</w:t>
            </w:r>
          </w:p>
          <w:p w:rsidR="00A11283" w:rsidRPr="00620B62" w:rsidRDefault="00A11283" w:rsidP="00620B62">
            <w:pPr>
              <w:pStyle w:val="Body"/>
              <w:spacing w:after="0" w:line="240" w:lineRule="auto"/>
              <w:rPr>
                <w:rFonts w:ascii="Arial" w:hAnsi="Arial" w:cs="Arial"/>
                <w:b/>
                <w:bCs/>
                <w:sz w:val="24"/>
                <w:szCs w:val="24"/>
                <w:lang w:val="en-US"/>
              </w:rPr>
            </w:pPr>
          </w:p>
        </w:tc>
      </w:tr>
      <w:tr w:rsidR="00171FA8" w:rsidTr="0008596C">
        <w:trPr>
          <w:trHeight w:val="670"/>
        </w:trPr>
        <w:tc>
          <w:tcPr>
            <w:tcW w:w="1668" w:type="dxa"/>
            <w:gridSpan w:val="2"/>
            <w:tcBorders>
              <w:top w:val="nil"/>
              <w:left w:val="nil"/>
              <w:bottom w:val="nil"/>
              <w:right w:val="nil"/>
            </w:tcBorders>
            <w:shd w:val="clear" w:color="auto" w:fill="DBE5F1" w:themeFill="accent1" w:themeFillTint="33"/>
            <w:tcMar>
              <w:top w:w="80" w:type="dxa"/>
              <w:left w:w="80" w:type="dxa"/>
              <w:bottom w:w="80" w:type="dxa"/>
              <w:right w:w="80" w:type="dxa"/>
            </w:tcMar>
          </w:tcPr>
          <w:p w:rsidR="00171FA8" w:rsidRPr="005D41E5" w:rsidRDefault="00A11283">
            <w:pPr>
              <w:pStyle w:val="Body"/>
              <w:spacing w:after="0" w:line="240" w:lineRule="auto"/>
              <w:rPr>
                <w:rFonts w:ascii="Arial" w:hAnsi="Arial" w:cs="Arial"/>
                <w:b/>
                <w:bCs/>
                <w:sz w:val="24"/>
                <w:szCs w:val="24"/>
                <w:lang w:val="en-US"/>
              </w:rPr>
            </w:pPr>
            <w:r>
              <w:rPr>
                <w:rFonts w:ascii="Arial" w:hAnsi="Arial" w:cs="Arial"/>
                <w:b/>
                <w:bCs/>
                <w:sz w:val="24"/>
                <w:szCs w:val="24"/>
                <w:lang w:val="en-US"/>
              </w:rPr>
              <w:lastRenderedPageBreak/>
              <w:t>AC/21/20</w:t>
            </w:r>
          </w:p>
        </w:tc>
        <w:tc>
          <w:tcPr>
            <w:tcW w:w="7863" w:type="dxa"/>
            <w:gridSpan w:val="2"/>
            <w:tcBorders>
              <w:top w:val="nil"/>
              <w:left w:val="nil"/>
              <w:bottom w:val="nil"/>
              <w:right w:val="nil"/>
            </w:tcBorders>
            <w:shd w:val="clear" w:color="auto" w:fill="DBE5F1" w:themeFill="accent1" w:themeFillTint="33"/>
            <w:tcMar>
              <w:top w:w="80" w:type="dxa"/>
              <w:left w:w="80" w:type="dxa"/>
              <w:bottom w:w="80" w:type="dxa"/>
              <w:right w:w="80" w:type="dxa"/>
            </w:tcMar>
          </w:tcPr>
          <w:p w:rsidR="00171FA8" w:rsidRDefault="00A31BA2" w:rsidP="00C16265">
            <w:pPr>
              <w:pStyle w:val="Body"/>
              <w:spacing w:after="0" w:line="240" w:lineRule="auto"/>
              <w:rPr>
                <w:rFonts w:ascii="Arial" w:hAnsi="Arial" w:cs="Arial"/>
                <w:b/>
                <w:bCs/>
                <w:sz w:val="24"/>
                <w:szCs w:val="24"/>
                <w:lang w:val="en-US"/>
              </w:rPr>
            </w:pPr>
            <w:r>
              <w:rPr>
                <w:rFonts w:ascii="Arial" w:hAnsi="Arial" w:cs="Arial"/>
                <w:b/>
                <w:bCs/>
                <w:sz w:val="24"/>
                <w:szCs w:val="24"/>
                <w:lang w:val="en-US"/>
              </w:rPr>
              <w:t>Data Protection update</w:t>
            </w:r>
          </w:p>
        </w:tc>
      </w:tr>
      <w:tr w:rsidR="0008596C" w:rsidTr="0069090E">
        <w:trPr>
          <w:trHeight w:val="1672"/>
        </w:trPr>
        <w:tc>
          <w:tcPr>
            <w:tcW w:w="9531" w:type="dxa"/>
            <w:gridSpan w:val="4"/>
            <w:tcBorders>
              <w:top w:val="nil"/>
              <w:left w:val="nil"/>
              <w:bottom w:val="nil"/>
              <w:right w:val="nil"/>
            </w:tcBorders>
            <w:shd w:val="clear" w:color="auto" w:fill="auto"/>
            <w:tcMar>
              <w:top w:w="80" w:type="dxa"/>
              <w:left w:w="80" w:type="dxa"/>
              <w:bottom w:w="80" w:type="dxa"/>
              <w:right w:w="80" w:type="dxa"/>
            </w:tcMar>
          </w:tcPr>
          <w:p w:rsidR="0008596C" w:rsidRPr="00BA62A9" w:rsidRDefault="00C87BAE">
            <w:pPr>
              <w:pStyle w:val="Body"/>
              <w:spacing w:after="0" w:line="240" w:lineRule="auto"/>
              <w:rPr>
                <w:rFonts w:ascii="Arial" w:hAnsi="Arial" w:cs="Arial"/>
                <w:bCs/>
                <w:sz w:val="24"/>
                <w:szCs w:val="24"/>
                <w:lang w:val="en-US"/>
              </w:rPr>
            </w:pPr>
            <w:r w:rsidRPr="00BA62A9">
              <w:rPr>
                <w:rFonts w:ascii="Arial" w:hAnsi="Arial" w:cs="Arial"/>
                <w:bCs/>
                <w:sz w:val="24"/>
                <w:szCs w:val="24"/>
                <w:lang w:val="en-US"/>
              </w:rPr>
              <w:t>The DPO</w:t>
            </w:r>
            <w:r w:rsidR="004253A1" w:rsidRPr="00BA62A9">
              <w:rPr>
                <w:rFonts w:ascii="Arial" w:hAnsi="Arial" w:cs="Arial"/>
                <w:bCs/>
                <w:sz w:val="24"/>
                <w:szCs w:val="24"/>
                <w:lang w:val="en-US"/>
              </w:rPr>
              <w:t xml:space="preserve"> joined the meeting and </w:t>
            </w:r>
            <w:r w:rsidRPr="00BA62A9">
              <w:rPr>
                <w:rFonts w:ascii="Arial" w:hAnsi="Arial" w:cs="Arial"/>
                <w:bCs/>
                <w:sz w:val="24"/>
                <w:szCs w:val="24"/>
                <w:lang w:val="en-US"/>
              </w:rPr>
              <w:t>presented the report.</w:t>
            </w:r>
          </w:p>
          <w:p w:rsidR="004253A1" w:rsidRPr="00BA62A9" w:rsidRDefault="004253A1">
            <w:pPr>
              <w:pStyle w:val="Body"/>
              <w:spacing w:after="0" w:line="240" w:lineRule="auto"/>
              <w:rPr>
                <w:rFonts w:ascii="Arial" w:hAnsi="Arial" w:cs="Arial"/>
                <w:bCs/>
                <w:sz w:val="24"/>
                <w:szCs w:val="24"/>
                <w:lang w:val="en-US"/>
              </w:rPr>
            </w:pPr>
          </w:p>
          <w:p w:rsidR="008D5C72" w:rsidRPr="00BA62A9" w:rsidRDefault="008D5C72">
            <w:pPr>
              <w:pStyle w:val="Body"/>
              <w:spacing w:after="0" w:line="240" w:lineRule="auto"/>
              <w:rPr>
                <w:rFonts w:ascii="Arial" w:hAnsi="Arial" w:cs="Arial"/>
                <w:bCs/>
                <w:sz w:val="24"/>
                <w:szCs w:val="24"/>
                <w:lang w:val="en-US"/>
              </w:rPr>
            </w:pPr>
            <w:r w:rsidRPr="00BA62A9">
              <w:rPr>
                <w:rFonts w:ascii="Arial" w:hAnsi="Arial" w:cs="Arial"/>
                <w:bCs/>
                <w:sz w:val="24"/>
                <w:szCs w:val="24"/>
                <w:lang w:val="en-US"/>
              </w:rPr>
              <w:t xml:space="preserve">The Committee sought information on the work required to move areas requiring improvement to a </w:t>
            </w:r>
            <w:proofErr w:type="spellStart"/>
            <w:r w:rsidRPr="00BA62A9">
              <w:rPr>
                <w:rFonts w:ascii="Arial" w:hAnsi="Arial" w:cs="Arial"/>
                <w:bCs/>
                <w:sz w:val="24"/>
                <w:szCs w:val="24"/>
                <w:lang w:val="en-US"/>
              </w:rPr>
              <w:t>gree</w:t>
            </w:r>
            <w:r w:rsidR="00803AA8">
              <w:rPr>
                <w:rFonts w:ascii="Arial" w:hAnsi="Arial" w:cs="Arial"/>
                <w:bCs/>
                <w:sz w:val="24"/>
                <w:szCs w:val="24"/>
                <w:lang w:val="en-US"/>
              </w:rPr>
              <w:t>n</w:t>
            </w:r>
            <w:r w:rsidRPr="00BA62A9">
              <w:rPr>
                <w:rFonts w:ascii="Arial" w:hAnsi="Arial" w:cs="Arial"/>
                <w:bCs/>
                <w:sz w:val="24"/>
                <w:szCs w:val="24"/>
                <w:lang w:val="en-US"/>
              </w:rPr>
              <w:t>rating</w:t>
            </w:r>
            <w:proofErr w:type="spellEnd"/>
            <w:r w:rsidRPr="00BA62A9">
              <w:rPr>
                <w:rFonts w:ascii="Arial" w:hAnsi="Arial" w:cs="Arial"/>
                <w:bCs/>
                <w:sz w:val="24"/>
                <w:szCs w:val="24"/>
                <w:lang w:val="en-US"/>
              </w:rPr>
              <w:t>.</w:t>
            </w:r>
          </w:p>
          <w:p w:rsidR="004253A1" w:rsidRPr="00BA62A9" w:rsidRDefault="004253A1">
            <w:pPr>
              <w:pStyle w:val="Body"/>
              <w:spacing w:after="0" w:line="240" w:lineRule="auto"/>
              <w:rPr>
                <w:rFonts w:ascii="Arial" w:hAnsi="Arial" w:cs="Arial"/>
                <w:bCs/>
                <w:sz w:val="24"/>
                <w:szCs w:val="24"/>
                <w:lang w:val="en-US"/>
              </w:rPr>
            </w:pPr>
          </w:p>
          <w:p w:rsidR="00F657F6" w:rsidRPr="00BA62A9" w:rsidRDefault="008D5C72">
            <w:pPr>
              <w:pStyle w:val="Body"/>
              <w:spacing w:after="0" w:line="240" w:lineRule="auto"/>
              <w:rPr>
                <w:rFonts w:ascii="Arial" w:hAnsi="Arial" w:cs="Arial"/>
                <w:bCs/>
                <w:sz w:val="24"/>
                <w:szCs w:val="24"/>
                <w:lang w:val="en-US"/>
              </w:rPr>
            </w:pPr>
            <w:r w:rsidRPr="00BA62A9">
              <w:rPr>
                <w:rFonts w:ascii="Arial" w:hAnsi="Arial" w:cs="Arial"/>
                <w:bCs/>
                <w:sz w:val="24"/>
                <w:szCs w:val="24"/>
                <w:lang w:val="en-US"/>
              </w:rPr>
              <w:t>It was explained that r</w:t>
            </w:r>
            <w:r w:rsidR="004253A1" w:rsidRPr="00BA62A9">
              <w:rPr>
                <w:rFonts w:ascii="Arial" w:hAnsi="Arial" w:cs="Arial"/>
                <w:bCs/>
                <w:sz w:val="24"/>
                <w:szCs w:val="24"/>
                <w:lang w:val="en-US"/>
              </w:rPr>
              <w:t>ecommendations were as a result o</w:t>
            </w:r>
            <w:r w:rsidRPr="00BA62A9">
              <w:rPr>
                <w:rFonts w:ascii="Arial" w:hAnsi="Arial" w:cs="Arial"/>
                <w:bCs/>
                <w:sz w:val="24"/>
                <w:szCs w:val="24"/>
                <w:lang w:val="en-US"/>
              </w:rPr>
              <w:t>f the audit carried out in 2018 with</w:t>
            </w:r>
            <w:r w:rsidR="004253A1" w:rsidRPr="00BA62A9">
              <w:rPr>
                <w:rFonts w:ascii="Arial" w:hAnsi="Arial" w:cs="Arial"/>
                <w:bCs/>
                <w:sz w:val="24"/>
                <w:szCs w:val="24"/>
                <w:lang w:val="en-US"/>
              </w:rPr>
              <w:t xml:space="preserve"> significant progress </w:t>
            </w:r>
            <w:r w:rsidRPr="00BA62A9">
              <w:rPr>
                <w:rFonts w:ascii="Arial" w:hAnsi="Arial" w:cs="Arial"/>
                <w:bCs/>
                <w:sz w:val="24"/>
                <w:szCs w:val="24"/>
                <w:lang w:val="en-US"/>
              </w:rPr>
              <w:t xml:space="preserve">having been made </w:t>
            </w:r>
            <w:r w:rsidR="004253A1" w:rsidRPr="00BA62A9">
              <w:rPr>
                <w:rFonts w:ascii="Arial" w:hAnsi="Arial" w:cs="Arial"/>
                <w:bCs/>
                <w:sz w:val="24"/>
                <w:szCs w:val="24"/>
                <w:lang w:val="en-US"/>
              </w:rPr>
              <w:t xml:space="preserve">since then. The progress in the current quarter has been impacted by lockdown with a </w:t>
            </w:r>
            <w:r w:rsidRPr="00BA62A9">
              <w:rPr>
                <w:rFonts w:ascii="Arial" w:hAnsi="Arial" w:cs="Arial"/>
                <w:bCs/>
                <w:sz w:val="24"/>
                <w:szCs w:val="24"/>
                <w:lang w:val="en-US"/>
              </w:rPr>
              <w:t>change in focus to</w:t>
            </w:r>
            <w:r w:rsidR="004253A1" w:rsidRPr="00BA62A9">
              <w:rPr>
                <w:rFonts w:ascii="Arial" w:hAnsi="Arial" w:cs="Arial"/>
                <w:bCs/>
                <w:sz w:val="24"/>
                <w:szCs w:val="24"/>
                <w:lang w:val="en-US"/>
              </w:rPr>
              <w:t xml:space="preserve"> data protecti</w:t>
            </w:r>
            <w:r w:rsidRPr="00BA62A9">
              <w:rPr>
                <w:rFonts w:ascii="Arial" w:hAnsi="Arial" w:cs="Arial"/>
                <w:bCs/>
                <w:sz w:val="24"/>
                <w:szCs w:val="24"/>
                <w:lang w:val="en-US"/>
              </w:rPr>
              <w:t>on in remote working and drafting</w:t>
            </w:r>
            <w:r w:rsidR="004253A1" w:rsidRPr="00BA62A9">
              <w:rPr>
                <w:rFonts w:ascii="Arial" w:hAnsi="Arial" w:cs="Arial"/>
                <w:bCs/>
                <w:sz w:val="24"/>
                <w:szCs w:val="24"/>
                <w:lang w:val="en-US"/>
              </w:rPr>
              <w:t xml:space="preserve"> guidance. Breaches </w:t>
            </w:r>
            <w:r w:rsidRPr="00BA62A9">
              <w:rPr>
                <w:rFonts w:ascii="Arial" w:hAnsi="Arial" w:cs="Arial"/>
                <w:bCs/>
                <w:sz w:val="24"/>
                <w:szCs w:val="24"/>
                <w:lang w:val="en-US"/>
              </w:rPr>
              <w:t>have increased, mainly relating to email address sharing despite guidance. D</w:t>
            </w:r>
            <w:r w:rsidR="004253A1" w:rsidRPr="00BA62A9">
              <w:rPr>
                <w:rFonts w:ascii="Arial" w:hAnsi="Arial" w:cs="Arial"/>
                <w:bCs/>
                <w:sz w:val="24"/>
                <w:szCs w:val="24"/>
                <w:lang w:val="en-US"/>
              </w:rPr>
              <w:t>ata security</w:t>
            </w:r>
            <w:r w:rsidRPr="00BA62A9">
              <w:rPr>
                <w:rFonts w:ascii="Arial" w:hAnsi="Arial" w:cs="Arial"/>
                <w:bCs/>
                <w:sz w:val="24"/>
                <w:szCs w:val="24"/>
                <w:lang w:val="en-US"/>
              </w:rPr>
              <w:t xml:space="preserve"> has been well managed centrally but a further n</w:t>
            </w:r>
            <w:r w:rsidR="004253A1" w:rsidRPr="00BA62A9">
              <w:rPr>
                <w:rFonts w:ascii="Arial" w:hAnsi="Arial" w:cs="Arial"/>
                <w:bCs/>
                <w:sz w:val="24"/>
                <w:szCs w:val="24"/>
                <w:lang w:val="en-US"/>
              </w:rPr>
              <w:t>eed for video conferencing policies</w:t>
            </w:r>
            <w:r w:rsidRPr="00BA62A9">
              <w:rPr>
                <w:rFonts w:ascii="Arial" w:hAnsi="Arial" w:cs="Arial"/>
                <w:bCs/>
                <w:sz w:val="24"/>
                <w:szCs w:val="24"/>
                <w:lang w:val="en-US"/>
              </w:rPr>
              <w:t xml:space="preserve"> and further refresher training noted.</w:t>
            </w:r>
          </w:p>
          <w:p w:rsidR="008D5C72" w:rsidRPr="00BA62A9" w:rsidRDefault="008D5C72">
            <w:pPr>
              <w:pStyle w:val="Body"/>
              <w:spacing w:after="0" w:line="240" w:lineRule="auto"/>
              <w:rPr>
                <w:rFonts w:ascii="Arial" w:hAnsi="Arial" w:cs="Arial"/>
                <w:bCs/>
                <w:sz w:val="24"/>
                <w:szCs w:val="24"/>
                <w:lang w:val="en-US"/>
              </w:rPr>
            </w:pPr>
          </w:p>
          <w:p w:rsidR="00F657F6" w:rsidRPr="00BA62A9" w:rsidRDefault="00F657F6">
            <w:pPr>
              <w:pStyle w:val="Body"/>
              <w:spacing w:after="0" w:line="240" w:lineRule="auto"/>
              <w:rPr>
                <w:rFonts w:ascii="Arial" w:hAnsi="Arial" w:cs="Arial"/>
                <w:bCs/>
                <w:sz w:val="24"/>
                <w:szCs w:val="24"/>
                <w:lang w:val="en-US"/>
              </w:rPr>
            </w:pPr>
            <w:r w:rsidRPr="00BA62A9">
              <w:rPr>
                <w:rFonts w:ascii="Arial" w:hAnsi="Arial" w:cs="Arial"/>
                <w:bCs/>
                <w:sz w:val="24"/>
                <w:szCs w:val="24"/>
                <w:lang w:val="en-US"/>
              </w:rPr>
              <w:t xml:space="preserve">The use of terminology </w:t>
            </w:r>
            <w:r w:rsidR="008D5C72" w:rsidRPr="00BA62A9">
              <w:rPr>
                <w:rFonts w:ascii="Arial" w:hAnsi="Arial" w:cs="Arial"/>
                <w:bCs/>
                <w:sz w:val="24"/>
                <w:szCs w:val="24"/>
                <w:lang w:val="en-US"/>
              </w:rPr>
              <w:t xml:space="preserve">“requires improvement” </w:t>
            </w:r>
            <w:r w:rsidRPr="00BA62A9">
              <w:rPr>
                <w:rFonts w:ascii="Arial" w:hAnsi="Arial" w:cs="Arial"/>
                <w:bCs/>
                <w:sz w:val="24"/>
                <w:szCs w:val="24"/>
                <w:lang w:val="en-US"/>
              </w:rPr>
              <w:t>was considered by the Committee to be harsh</w:t>
            </w:r>
            <w:r w:rsidR="008D5C72" w:rsidRPr="00BA62A9">
              <w:rPr>
                <w:rFonts w:ascii="Arial" w:hAnsi="Arial" w:cs="Arial"/>
                <w:bCs/>
                <w:sz w:val="24"/>
                <w:szCs w:val="24"/>
                <w:lang w:val="en-US"/>
              </w:rPr>
              <w:t xml:space="preserve"> in the context explained.  It was reflected that the term is</w:t>
            </w:r>
            <w:r w:rsidRPr="00BA62A9">
              <w:rPr>
                <w:rFonts w:ascii="Arial" w:hAnsi="Arial" w:cs="Arial"/>
                <w:bCs/>
                <w:sz w:val="24"/>
                <w:szCs w:val="24"/>
                <w:lang w:val="en-US"/>
              </w:rPr>
              <w:t xml:space="preserve"> not considered to be detrimental in ICO terms but </w:t>
            </w:r>
            <w:r w:rsidR="008D5C72" w:rsidRPr="00BA62A9">
              <w:rPr>
                <w:rFonts w:ascii="Arial" w:hAnsi="Arial" w:cs="Arial"/>
                <w:bCs/>
                <w:sz w:val="24"/>
                <w:szCs w:val="24"/>
                <w:lang w:val="en-US"/>
              </w:rPr>
              <w:t xml:space="preserve">identifies issues that </w:t>
            </w:r>
            <w:r w:rsidRPr="00BA62A9">
              <w:rPr>
                <w:rFonts w:ascii="Arial" w:hAnsi="Arial" w:cs="Arial"/>
                <w:bCs/>
                <w:sz w:val="24"/>
                <w:szCs w:val="24"/>
                <w:lang w:val="en-US"/>
              </w:rPr>
              <w:t xml:space="preserve">could </w:t>
            </w:r>
            <w:r w:rsidR="008D5C72" w:rsidRPr="00BA62A9">
              <w:rPr>
                <w:rFonts w:ascii="Arial" w:hAnsi="Arial" w:cs="Arial"/>
                <w:bCs/>
                <w:sz w:val="24"/>
                <w:szCs w:val="24"/>
                <w:lang w:val="en-US"/>
              </w:rPr>
              <w:t>result in breaches</w:t>
            </w:r>
            <w:r w:rsidRPr="00BA62A9">
              <w:rPr>
                <w:rFonts w:ascii="Arial" w:hAnsi="Arial" w:cs="Arial"/>
                <w:bCs/>
                <w:sz w:val="24"/>
                <w:szCs w:val="24"/>
                <w:lang w:val="en-US"/>
              </w:rPr>
              <w:t xml:space="preserve"> down the line.</w:t>
            </w:r>
          </w:p>
          <w:p w:rsidR="00F657F6" w:rsidRPr="00BA62A9" w:rsidRDefault="00F657F6">
            <w:pPr>
              <w:pStyle w:val="Body"/>
              <w:spacing w:after="0" w:line="240" w:lineRule="auto"/>
              <w:rPr>
                <w:rFonts w:ascii="Arial" w:hAnsi="Arial" w:cs="Arial"/>
                <w:bCs/>
                <w:sz w:val="24"/>
                <w:szCs w:val="24"/>
                <w:lang w:val="en-US"/>
              </w:rPr>
            </w:pPr>
          </w:p>
          <w:p w:rsidR="00F657F6" w:rsidRPr="00BA62A9" w:rsidRDefault="00F657F6">
            <w:pPr>
              <w:pStyle w:val="Body"/>
              <w:spacing w:after="0" w:line="240" w:lineRule="auto"/>
              <w:rPr>
                <w:rFonts w:ascii="Arial" w:hAnsi="Arial" w:cs="Arial"/>
                <w:bCs/>
                <w:sz w:val="24"/>
                <w:szCs w:val="24"/>
                <w:lang w:val="en-US"/>
              </w:rPr>
            </w:pPr>
            <w:r w:rsidRPr="00BA62A9">
              <w:rPr>
                <w:rFonts w:ascii="Arial" w:hAnsi="Arial" w:cs="Arial"/>
                <w:bCs/>
                <w:sz w:val="24"/>
                <w:szCs w:val="24"/>
                <w:lang w:val="en-US"/>
              </w:rPr>
              <w:t>Key risks</w:t>
            </w:r>
            <w:r w:rsidR="008D5C72" w:rsidRPr="00BA62A9">
              <w:rPr>
                <w:rFonts w:ascii="Arial" w:hAnsi="Arial" w:cs="Arial"/>
                <w:bCs/>
                <w:sz w:val="24"/>
                <w:szCs w:val="24"/>
                <w:lang w:val="en-US"/>
              </w:rPr>
              <w:t xml:space="preserve"> being focused on are</w:t>
            </w:r>
            <w:r w:rsidR="00803AA8">
              <w:rPr>
                <w:rFonts w:ascii="Arial" w:hAnsi="Arial" w:cs="Arial"/>
                <w:bCs/>
                <w:sz w:val="24"/>
                <w:szCs w:val="24"/>
                <w:lang w:val="en-US"/>
              </w:rPr>
              <w:t>:</w:t>
            </w:r>
            <w:r w:rsidRPr="00BA62A9">
              <w:rPr>
                <w:rFonts w:ascii="Arial" w:hAnsi="Arial" w:cs="Arial"/>
                <w:bCs/>
                <w:sz w:val="24"/>
                <w:szCs w:val="24"/>
                <w:lang w:val="en-US"/>
              </w:rPr>
              <w:t xml:space="preserve"> data secur</w:t>
            </w:r>
            <w:r w:rsidR="008D5C72" w:rsidRPr="00BA62A9">
              <w:rPr>
                <w:rFonts w:ascii="Arial" w:hAnsi="Arial" w:cs="Arial"/>
                <w:bCs/>
                <w:sz w:val="24"/>
                <w:szCs w:val="24"/>
                <w:lang w:val="en-US"/>
              </w:rPr>
              <w:t>ity in remote working practices and the e</w:t>
            </w:r>
            <w:r w:rsidRPr="00BA62A9">
              <w:rPr>
                <w:rFonts w:ascii="Arial" w:hAnsi="Arial" w:cs="Arial"/>
                <w:bCs/>
                <w:sz w:val="24"/>
                <w:szCs w:val="24"/>
                <w:lang w:val="en-US"/>
              </w:rPr>
              <w:t xml:space="preserve">xpectation of </w:t>
            </w:r>
            <w:r w:rsidR="008D5C72" w:rsidRPr="00BA62A9">
              <w:rPr>
                <w:rFonts w:ascii="Arial" w:hAnsi="Arial" w:cs="Arial"/>
                <w:bCs/>
                <w:sz w:val="24"/>
                <w:szCs w:val="24"/>
                <w:lang w:val="en-US"/>
              </w:rPr>
              <w:t>an increase in subject access requests and freedom of information requests</w:t>
            </w:r>
            <w:r w:rsidRPr="00BA62A9">
              <w:rPr>
                <w:rFonts w:ascii="Arial" w:hAnsi="Arial" w:cs="Arial"/>
                <w:bCs/>
                <w:sz w:val="24"/>
                <w:szCs w:val="24"/>
                <w:lang w:val="en-US"/>
              </w:rPr>
              <w:t xml:space="preserve"> </w:t>
            </w:r>
            <w:r w:rsidR="008D5C72" w:rsidRPr="00BA62A9">
              <w:rPr>
                <w:rFonts w:ascii="Arial" w:hAnsi="Arial" w:cs="Arial"/>
                <w:bCs/>
                <w:sz w:val="24"/>
                <w:szCs w:val="24"/>
                <w:lang w:val="en-US"/>
              </w:rPr>
              <w:t xml:space="preserve">as a result of the teacher assessment of GCSE and A Level results in the current year. The management team responsible for the College processes in this area </w:t>
            </w:r>
            <w:r w:rsidR="008716FE" w:rsidRPr="00BA62A9">
              <w:rPr>
                <w:rFonts w:ascii="Arial" w:hAnsi="Arial" w:cs="Arial"/>
                <w:bCs/>
                <w:sz w:val="24"/>
                <w:szCs w:val="24"/>
                <w:lang w:val="en-US"/>
              </w:rPr>
              <w:t>are aware and assurance given that the process is robust. The potential impact on resources was noted and will b</w:t>
            </w:r>
            <w:r w:rsidR="008449D0">
              <w:rPr>
                <w:rFonts w:ascii="Arial" w:hAnsi="Arial" w:cs="Arial"/>
                <w:bCs/>
                <w:sz w:val="24"/>
                <w:szCs w:val="24"/>
                <w:lang w:val="en-US"/>
              </w:rPr>
              <w:t>e managed</w:t>
            </w:r>
            <w:r w:rsidR="008716FE" w:rsidRPr="00BA62A9">
              <w:rPr>
                <w:rFonts w:ascii="Arial" w:hAnsi="Arial" w:cs="Arial"/>
                <w:bCs/>
                <w:sz w:val="24"/>
                <w:szCs w:val="24"/>
                <w:lang w:val="en-US"/>
              </w:rPr>
              <w:t>.</w:t>
            </w:r>
            <w:r w:rsidR="008449D0">
              <w:rPr>
                <w:rFonts w:ascii="Arial" w:hAnsi="Arial" w:cs="Arial"/>
                <w:bCs/>
                <w:sz w:val="24"/>
                <w:szCs w:val="24"/>
                <w:lang w:val="en-US"/>
              </w:rPr>
              <w:t xml:space="preserve"> </w:t>
            </w:r>
            <w:r w:rsidR="008716FE" w:rsidRPr="00BA62A9">
              <w:rPr>
                <w:rFonts w:ascii="Arial" w:hAnsi="Arial" w:cs="Arial"/>
                <w:bCs/>
                <w:sz w:val="24"/>
                <w:szCs w:val="24"/>
                <w:lang w:val="en-US"/>
              </w:rPr>
              <w:t>The Vice Principal responsible for quality had updated the QSA Committee on the operation of the process and impact on students.</w:t>
            </w:r>
          </w:p>
          <w:p w:rsidR="00103136" w:rsidRPr="00BA62A9" w:rsidRDefault="00103136">
            <w:pPr>
              <w:pStyle w:val="Body"/>
              <w:spacing w:after="0" w:line="240" w:lineRule="auto"/>
              <w:rPr>
                <w:rFonts w:ascii="Arial" w:hAnsi="Arial" w:cs="Arial"/>
                <w:bCs/>
                <w:sz w:val="24"/>
                <w:szCs w:val="24"/>
                <w:lang w:val="en-US"/>
              </w:rPr>
            </w:pPr>
          </w:p>
          <w:p w:rsidR="006B5934" w:rsidRPr="00BA62A9" w:rsidRDefault="008716FE">
            <w:pPr>
              <w:pStyle w:val="Body"/>
              <w:spacing w:after="0" w:line="240" w:lineRule="auto"/>
              <w:rPr>
                <w:rFonts w:ascii="Arial" w:hAnsi="Arial" w:cs="Arial"/>
                <w:bCs/>
                <w:sz w:val="24"/>
                <w:szCs w:val="24"/>
                <w:lang w:val="en-US"/>
              </w:rPr>
            </w:pPr>
            <w:r w:rsidRPr="00BA62A9">
              <w:rPr>
                <w:rFonts w:ascii="Arial" w:hAnsi="Arial" w:cs="Arial"/>
                <w:bCs/>
                <w:sz w:val="24"/>
                <w:szCs w:val="24"/>
                <w:lang w:val="en-US"/>
              </w:rPr>
              <w:lastRenderedPageBreak/>
              <w:t xml:space="preserve">The Committee considered that recommendations should naturally drop off when the DPO considers a matter is being routinely dealt with. The importance of safe management of data for compliance with government regulations, safeguarding and education regulations generally was highlighted. </w:t>
            </w:r>
          </w:p>
          <w:p w:rsidR="00F657F6" w:rsidRPr="00BA62A9" w:rsidRDefault="008716FE">
            <w:pPr>
              <w:pStyle w:val="Body"/>
              <w:spacing w:after="0" w:line="240" w:lineRule="auto"/>
              <w:rPr>
                <w:rFonts w:ascii="Arial" w:hAnsi="Arial" w:cs="Arial"/>
                <w:bCs/>
                <w:sz w:val="24"/>
                <w:szCs w:val="24"/>
                <w:lang w:val="en-US"/>
              </w:rPr>
            </w:pPr>
            <w:r w:rsidRPr="00BA62A9">
              <w:rPr>
                <w:rFonts w:ascii="Arial" w:hAnsi="Arial" w:cs="Arial"/>
                <w:bCs/>
                <w:sz w:val="24"/>
                <w:szCs w:val="24"/>
                <w:lang w:val="en-US"/>
              </w:rPr>
              <w:t>The Committee was pleased that the overall policy and staff culture is rated as good supporting the College’s reputation.</w:t>
            </w:r>
          </w:p>
          <w:p w:rsidR="008716FE" w:rsidRPr="00BA62A9" w:rsidRDefault="008716FE">
            <w:pPr>
              <w:pStyle w:val="Body"/>
              <w:spacing w:after="0" w:line="240" w:lineRule="auto"/>
              <w:rPr>
                <w:rFonts w:ascii="Arial" w:hAnsi="Arial" w:cs="Arial"/>
                <w:bCs/>
                <w:sz w:val="24"/>
                <w:szCs w:val="24"/>
                <w:lang w:val="en-US"/>
              </w:rPr>
            </w:pPr>
          </w:p>
          <w:p w:rsidR="00F657F6" w:rsidRPr="00BA62A9" w:rsidRDefault="008716FE">
            <w:pPr>
              <w:pStyle w:val="Body"/>
              <w:spacing w:after="0" w:line="240" w:lineRule="auto"/>
              <w:rPr>
                <w:rFonts w:ascii="Arial" w:hAnsi="Arial" w:cs="Arial"/>
                <w:bCs/>
                <w:sz w:val="24"/>
                <w:szCs w:val="24"/>
                <w:lang w:val="en-US"/>
              </w:rPr>
            </w:pPr>
            <w:r w:rsidRPr="00BA62A9">
              <w:rPr>
                <w:rFonts w:ascii="Arial" w:hAnsi="Arial" w:cs="Arial"/>
                <w:bCs/>
                <w:sz w:val="24"/>
                <w:szCs w:val="24"/>
                <w:lang w:val="en-US"/>
              </w:rPr>
              <w:t xml:space="preserve">Work is being done on the layout of the report and future reports will be more dynamic on recommendations; time scales and </w:t>
            </w:r>
            <w:r w:rsidR="006B5934" w:rsidRPr="00BA62A9">
              <w:rPr>
                <w:rFonts w:ascii="Arial" w:hAnsi="Arial" w:cs="Arial"/>
                <w:bCs/>
                <w:sz w:val="24"/>
                <w:szCs w:val="24"/>
                <w:lang w:val="en-US"/>
              </w:rPr>
              <w:t xml:space="preserve">accountability </w:t>
            </w:r>
          </w:p>
          <w:p w:rsidR="0008596C" w:rsidRPr="00BA62A9" w:rsidRDefault="0008596C" w:rsidP="00951797">
            <w:pPr>
              <w:pStyle w:val="Body"/>
              <w:spacing w:after="0" w:line="240" w:lineRule="auto"/>
              <w:rPr>
                <w:rFonts w:ascii="Arial" w:hAnsi="Arial" w:cs="Arial"/>
                <w:bCs/>
                <w:sz w:val="24"/>
                <w:szCs w:val="24"/>
                <w:lang w:val="en-US"/>
              </w:rPr>
            </w:pPr>
          </w:p>
          <w:p w:rsidR="007D2688" w:rsidRPr="00BA62A9" w:rsidRDefault="00BA62A9" w:rsidP="00951797">
            <w:pPr>
              <w:pStyle w:val="Body"/>
              <w:spacing w:after="0" w:line="240" w:lineRule="auto"/>
              <w:rPr>
                <w:rFonts w:ascii="Arial" w:hAnsi="Arial" w:cs="Arial"/>
                <w:bCs/>
                <w:sz w:val="24"/>
                <w:szCs w:val="24"/>
                <w:lang w:val="en-US"/>
              </w:rPr>
            </w:pPr>
            <w:r w:rsidRPr="00BA62A9">
              <w:rPr>
                <w:rFonts w:ascii="Arial" w:hAnsi="Arial" w:cs="Arial"/>
                <w:bCs/>
                <w:sz w:val="24"/>
                <w:szCs w:val="24"/>
                <w:lang w:val="en-US"/>
              </w:rPr>
              <w:t xml:space="preserve">The Committee sought to understand the position compared to other colleges but understood this is difficult as different institutions use different measurements. </w:t>
            </w:r>
          </w:p>
          <w:p w:rsidR="00BA62A9" w:rsidRPr="00BA62A9" w:rsidRDefault="00BA62A9" w:rsidP="00951797">
            <w:pPr>
              <w:pStyle w:val="Body"/>
              <w:spacing w:after="0" w:line="240" w:lineRule="auto"/>
              <w:rPr>
                <w:rFonts w:ascii="Arial" w:hAnsi="Arial" w:cs="Arial"/>
                <w:bCs/>
                <w:sz w:val="24"/>
                <w:szCs w:val="24"/>
                <w:lang w:val="en-US"/>
              </w:rPr>
            </w:pPr>
          </w:p>
          <w:p w:rsidR="007D2688" w:rsidRDefault="008716FE" w:rsidP="00951797">
            <w:pPr>
              <w:pStyle w:val="Body"/>
              <w:spacing w:after="0" w:line="240" w:lineRule="auto"/>
              <w:rPr>
                <w:rFonts w:ascii="Arial" w:hAnsi="Arial" w:cs="Arial"/>
                <w:bCs/>
                <w:sz w:val="24"/>
                <w:szCs w:val="24"/>
                <w:lang w:val="en-US"/>
              </w:rPr>
            </w:pPr>
            <w:r w:rsidRPr="00BA62A9">
              <w:rPr>
                <w:rFonts w:ascii="Arial" w:hAnsi="Arial" w:cs="Arial"/>
                <w:bCs/>
                <w:sz w:val="24"/>
                <w:szCs w:val="24"/>
                <w:lang w:val="en-US"/>
              </w:rPr>
              <w:t>The DPO outlined the r</w:t>
            </w:r>
            <w:r w:rsidR="007D2688" w:rsidRPr="00BA62A9">
              <w:rPr>
                <w:rFonts w:ascii="Arial" w:hAnsi="Arial" w:cs="Arial"/>
                <w:bCs/>
                <w:sz w:val="24"/>
                <w:szCs w:val="24"/>
                <w:lang w:val="en-US"/>
              </w:rPr>
              <w:t>obust system of receiving reports</w:t>
            </w:r>
            <w:r w:rsidRPr="00BA62A9">
              <w:rPr>
                <w:rFonts w:ascii="Arial" w:hAnsi="Arial" w:cs="Arial"/>
                <w:bCs/>
                <w:sz w:val="24"/>
                <w:szCs w:val="24"/>
                <w:lang w:val="en-US"/>
              </w:rPr>
              <w:t xml:space="preserve"> and matters being picked up centrally at the College. The Committee did ho</w:t>
            </w:r>
            <w:r w:rsidR="00BA62A9" w:rsidRPr="00BA62A9">
              <w:rPr>
                <w:rFonts w:ascii="Arial" w:hAnsi="Arial" w:cs="Arial"/>
                <w:bCs/>
                <w:sz w:val="24"/>
                <w:szCs w:val="24"/>
                <w:lang w:val="en-US"/>
              </w:rPr>
              <w:t>wever support the need for</w:t>
            </w:r>
            <w:r w:rsidRPr="00BA62A9">
              <w:rPr>
                <w:rFonts w:ascii="Arial" w:hAnsi="Arial" w:cs="Arial"/>
                <w:bCs/>
                <w:sz w:val="24"/>
                <w:szCs w:val="24"/>
                <w:lang w:val="en-US"/>
              </w:rPr>
              <w:t xml:space="preserve"> an additional layer of account</w:t>
            </w:r>
            <w:r w:rsidR="00BA62A9" w:rsidRPr="00BA62A9">
              <w:rPr>
                <w:rFonts w:ascii="Arial" w:hAnsi="Arial" w:cs="Arial"/>
                <w:bCs/>
                <w:sz w:val="24"/>
                <w:szCs w:val="24"/>
                <w:lang w:val="en-US"/>
              </w:rPr>
              <w:t>ability with line managers to ensure they are</w:t>
            </w:r>
            <w:r w:rsidRPr="00BA62A9">
              <w:rPr>
                <w:rFonts w:ascii="Arial" w:hAnsi="Arial" w:cs="Arial"/>
                <w:bCs/>
                <w:sz w:val="24"/>
                <w:szCs w:val="24"/>
                <w:lang w:val="en-US"/>
              </w:rPr>
              <w:t xml:space="preserve"> routinely made aware of breaches and be responsible for </w:t>
            </w:r>
            <w:r w:rsidR="00BA62A9" w:rsidRPr="00BA62A9">
              <w:rPr>
                <w:rFonts w:ascii="Arial" w:hAnsi="Arial" w:cs="Arial"/>
                <w:bCs/>
                <w:sz w:val="24"/>
                <w:szCs w:val="24"/>
                <w:lang w:val="en-US"/>
              </w:rPr>
              <w:t xml:space="preserve">reviewing processes and </w:t>
            </w:r>
            <w:r w:rsidRPr="00BA62A9">
              <w:rPr>
                <w:rFonts w:ascii="Arial" w:hAnsi="Arial" w:cs="Arial"/>
                <w:bCs/>
                <w:sz w:val="24"/>
                <w:szCs w:val="24"/>
                <w:lang w:val="en-US"/>
              </w:rPr>
              <w:t>ensuring refresher training</w:t>
            </w:r>
            <w:r w:rsidR="00BA62A9" w:rsidRPr="00BA62A9">
              <w:rPr>
                <w:rFonts w:ascii="Arial" w:hAnsi="Arial" w:cs="Arial"/>
                <w:bCs/>
                <w:sz w:val="24"/>
                <w:szCs w:val="24"/>
                <w:lang w:val="en-US"/>
              </w:rPr>
              <w:t xml:space="preserve"> for staff</w:t>
            </w:r>
            <w:r w:rsidR="007D2688" w:rsidRPr="00BA62A9">
              <w:rPr>
                <w:rFonts w:ascii="Arial" w:hAnsi="Arial" w:cs="Arial"/>
                <w:bCs/>
                <w:sz w:val="24"/>
                <w:szCs w:val="24"/>
                <w:lang w:val="en-US"/>
              </w:rPr>
              <w:t xml:space="preserve">. </w:t>
            </w:r>
          </w:p>
          <w:p w:rsidR="00E3348E" w:rsidRDefault="00E3348E" w:rsidP="00951797">
            <w:pPr>
              <w:pStyle w:val="Body"/>
              <w:spacing w:after="0" w:line="240" w:lineRule="auto"/>
              <w:rPr>
                <w:rFonts w:ascii="Arial" w:hAnsi="Arial" w:cs="Arial"/>
                <w:bCs/>
                <w:sz w:val="24"/>
                <w:szCs w:val="24"/>
                <w:lang w:val="en-US"/>
              </w:rPr>
            </w:pPr>
          </w:p>
          <w:p w:rsidR="00E3348E" w:rsidRPr="00E3348E" w:rsidRDefault="00E3348E" w:rsidP="00951797">
            <w:pPr>
              <w:pStyle w:val="Body"/>
              <w:spacing w:after="0" w:line="240" w:lineRule="auto"/>
              <w:rPr>
                <w:rFonts w:ascii="Arial" w:hAnsi="Arial" w:cs="Arial"/>
                <w:b/>
                <w:bCs/>
                <w:sz w:val="24"/>
                <w:szCs w:val="24"/>
                <w:lang w:val="en-US"/>
              </w:rPr>
            </w:pPr>
            <w:r w:rsidRPr="00E3348E">
              <w:rPr>
                <w:rFonts w:ascii="Arial" w:hAnsi="Arial" w:cs="Arial"/>
                <w:b/>
                <w:bCs/>
                <w:sz w:val="24"/>
                <w:szCs w:val="24"/>
                <w:lang w:val="en-US"/>
              </w:rPr>
              <w:t>The report was noted.</w:t>
            </w:r>
          </w:p>
          <w:p w:rsidR="007D2688" w:rsidRDefault="007D2688" w:rsidP="00951797">
            <w:pPr>
              <w:pStyle w:val="Body"/>
              <w:spacing w:after="0" w:line="240" w:lineRule="auto"/>
              <w:rPr>
                <w:rFonts w:ascii="Arial" w:hAnsi="Arial" w:cs="Arial"/>
                <w:bCs/>
                <w:sz w:val="24"/>
                <w:szCs w:val="24"/>
                <w:lang w:val="en-US"/>
              </w:rPr>
            </w:pPr>
          </w:p>
          <w:p w:rsidR="007C5089" w:rsidRPr="00BA62A9" w:rsidRDefault="007C5089" w:rsidP="00951797">
            <w:pPr>
              <w:pStyle w:val="Body"/>
              <w:spacing w:after="0" w:line="240" w:lineRule="auto"/>
              <w:rPr>
                <w:rFonts w:ascii="Arial" w:hAnsi="Arial" w:cs="Arial"/>
                <w:bCs/>
                <w:sz w:val="24"/>
                <w:szCs w:val="24"/>
                <w:lang w:val="en-US"/>
              </w:rPr>
            </w:pPr>
            <w:r>
              <w:rPr>
                <w:rFonts w:ascii="Arial" w:hAnsi="Arial" w:cs="Arial"/>
                <w:bCs/>
                <w:sz w:val="24"/>
                <w:szCs w:val="24"/>
                <w:lang w:val="en-US"/>
              </w:rPr>
              <w:t>The DPO left the meeting</w:t>
            </w:r>
          </w:p>
        </w:tc>
      </w:tr>
      <w:tr w:rsidR="00171FA8" w:rsidTr="0008596C">
        <w:trPr>
          <w:trHeight w:val="684"/>
        </w:trPr>
        <w:tc>
          <w:tcPr>
            <w:tcW w:w="1668" w:type="dxa"/>
            <w:gridSpan w:val="2"/>
            <w:tcBorders>
              <w:top w:val="nil"/>
              <w:left w:val="nil"/>
              <w:bottom w:val="nil"/>
              <w:right w:val="nil"/>
            </w:tcBorders>
            <w:shd w:val="clear" w:color="auto" w:fill="DBE5F1" w:themeFill="accent1" w:themeFillTint="33"/>
            <w:tcMar>
              <w:top w:w="80" w:type="dxa"/>
              <w:left w:w="80" w:type="dxa"/>
              <w:bottom w:w="80" w:type="dxa"/>
              <w:right w:w="80" w:type="dxa"/>
            </w:tcMar>
          </w:tcPr>
          <w:p w:rsidR="00171FA8" w:rsidRDefault="00BA62A9">
            <w:pPr>
              <w:pStyle w:val="Body"/>
              <w:spacing w:after="0" w:line="240" w:lineRule="auto"/>
              <w:rPr>
                <w:rFonts w:ascii="Arial" w:hAnsi="Arial" w:cs="Arial"/>
                <w:b/>
                <w:bCs/>
                <w:sz w:val="24"/>
                <w:szCs w:val="24"/>
                <w:lang w:val="en-US"/>
              </w:rPr>
            </w:pPr>
            <w:r>
              <w:rPr>
                <w:rFonts w:ascii="Arial" w:hAnsi="Arial" w:cs="Arial"/>
                <w:b/>
                <w:bCs/>
                <w:sz w:val="24"/>
                <w:szCs w:val="24"/>
                <w:lang w:val="en-US"/>
              </w:rPr>
              <w:lastRenderedPageBreak/>
              <w:t>AC/22/20</w:t>
            </w:r>
          </w:p>
        </w:tc>
        <w:tc>
          <w:tcPr>
            <w:tcW w:w="7863" w:type="dxa"/>
            <w:gridSpan w:val="2"/>
            <w:tcBorders>
              <w:top w:val="nil"/>
              <w:left w:val="nil"/>
              <w:bottom w:val="nil"/>
              <w:right w:val="nil"/>
            </w:tcBorders>
            <w:shd w:val="clear" w:color="auto" w:fill="DBE5F1" w:themeFill="accent1" w:themeFillTint="33"/>
            <w:tcMar>
              <w:top w:w="80" w:type="dxa"/>
              <w:left w:w="80" w:type="dxa"/>
              <w:bottom w:w="80" w:type="dxa"/>
              <w:right w:w="80" w:type="dxa"/>
            </w:tcMar>
          </w:tcPr>
          <w:p w:rsidR="00171FA8" w:rsidRDefault="00A31BA2" w:rsidP="00C16265">
            <w:pPr>
              <w:pStyle w:val="Body"/>
              <w:spacing w:after="0" w:line="240" w:lineRule="auto"/>
              <w:rPr>
                <w:rFonts w:ascii="Arial" w:hAnsi="Arial" w:cs="Arial"/>
                <w:b/>
                <w:bCs/>
                <w:sz w:val="24"/>
                <w:szCs w:val="24"/>
                <w:lang w:val="en-US"/>
              </w:rPr>
            </w:pPr>
            <w:r>
              <w:rPr>
                <w:rFonts w:ascii="Arial" w:hAnsi="Arial" w:cs="Arial"/>
                <w:b/>
                <w:bCs/>
                <w:sz w:val="24"/>
                <w:szCs w:val="24"/>
                <w:lang w:val="en-US"/>
              </w:rPr>
              <w:t>Internal irregularity report</w:t>
            </w:r>
          </w:p>
        </w:tc>
      </w:tr>
      <w:tr w:rsidR="007B2E95" w:rsidTr="003A4CE6">
        <w:trPr>
          <w:trHeight w:val="913"/>
        </w:trPr>
        <w:tc>
          <w:tcPr>
            <w:tcW w:w="9531" w:type="dxa"/>
            <w:gridSpan w:val="4"/>
            <w:tcBorders>
              <w:top w:val="nil"/>
              <w:left w:val="nil"/>
              <w:bottom w:val="nil"/>
              <w:right w:val="nil"/>
            </w:tcBorders>
            <w:shd w:val="clear" w:color="auto" w:fill="auto"/>
            <w:tcMar>
              <w:top w:w="80" w:type="dxa"/>
              <w:left w:w="80" w:type="dxa"/>
              <w:bottom w:w="80" w:type="dxa"/>
              <w:right w:w="80" w:type="dxa"/>
            </w:tcMar>
          </w:tcPr>
          <w:p w:rsidR="00BA62A9" w:rsidRPr="00BA62A9" w:rsidRDefault="00BA62A9" w:rsidP="001E3053">
            <w:pPr>
              <w:pStyle w:val="Body"/>
              <w:spacing w:after="0" w:line="240" w:lineRule="auto"/>
              <w:rPr>
                <w:rFonts w:ascii="Arial" w:hAnsi="Arial" w:cs="Arial"/>
                <w:bCs/>
                <w:sz w:val="24"/>
                <w:szCs w:val="24"/>
                <w:lang w:val="en-US"/>
              </w:rPr>
            </w:pPr>
            <w:r w:rsidRPr="00BA62A9">
              <w:rPr>
                <w:rFonts w:ascii="Arial" w:hAnsi="Arial" w:cs="Arial"/>
                <w:bCs/>
                <w:sz w:val="24"/>
                <w:szCs w:val="24"/>
                <w:lang w:val="en-US"/>
              </w:rPr>
              <w:t>The Director of Governance, as the Whistleblowing officer o</w:t>
            </w:r>
            <w:r w:rsidR="005308E6" w:rsidRPr="00BA62A9">
              <w:rPr>
                <w:rFonts w:ascii="Arial" w:hAnsi="Arial" w:cs="Arial"/>
                <w:bCs/>
                <w:sz w:val="24"/>
                <w:szCs w:val="24"/>
                <w:lang w:val="en-US"/>
              </w:rPr>
              <w:t>utline</w:t>
            </w:r>
            <w:r w:rsidRPr="00BA62A9">
              <w:rPr>
                <w:rFonts w:ascii="Arial" w:hAnsi="Arial" w:cs="Arial"/>
                <w:bCs/>
                <w:sz w:val="24"/>
                <w:szCs w:val="24"/>
                <w:lang w:val="en-US"/>
              </w:rPr>
              <w:t>d the report.</w:t>
            </w:r>
          </w:p>
          <w:p w:rsidR="00BA62A9" w:rsidRPr="00BA62A9" w:rsidRDefault="00BA62A9" w:rsidP="001E3053">
            <w:pPr>
              <w:pStyle w:val="Body"/>
              <w:spacing w:after="0" w:line="240" w:lineRule="auto"/>
              <w:rPr>
                <w:rFonts w:ascii="Arial" w:hAnsi="Arial" w:cs="Arial"/>
                <w:bCs/>
                <w:sz w:val="24"/>
                <w:szCs w:val="24"/>
                <w:lang w:val="en-US"/>
              </w:rPr>
            </w:pPr>
          </w:p>
          <w:p w:rsidR="007B2E95" w:rsidRPr="00BA62A9" w:rsidRDefault="00BA62A9" w:rsidP="001E3053">
            <w:pPr>
              <w:pStyle w:val="Body"/>
              <w:spacing w:after="0" w:line="240" w:lineRule="auto"/>
              <w:rPr>
                <w:rFonts w:ascii="Arial" w:hAnsi="Arial" w:cs="Arial"/>
                <w:bCs/>
                <w:sz w:val="24"/>
                <w:szCs w:val="24"/>
                <w:lang w:val="en-US"/>
              </w:rPr>
            </w:pPr>
            <w:r w:rsidRPr="00BA62A9">
              <w:rPr>
                <w:rFonts w:ascii="Arial" w:hAnsi="Arial" w:cs="Arial"/>
                <w:bCs/>
                <w:sz w:val="24"/>
                <w:szCs w:val="24"/>
                <w:lang w:val="en-US"/>
              </w:rPr>
              <w:t>It was confirmed that there have been no formal whistleblowing reports under the Raising Concerns Procedure in the current academic year.</w:t>
            </w:r>
            <w:r w:rsidR="005308E6" w:rsidRPr="00BA62A9">
              <w:rPr>
                <w:rFonts w:ascii="Arial" w:hAnsi="Arial" w:cs="Arial"/>
                <w:bCs/>
                <w:sz w:val="24"/>
                <w:szCs w:val="24"/>
                <w:lang w:val="en-US"/>
              </w:rPr>
              <w:t xml:space="preserve"> </w:t>
            </w:r>
          </w:p>
          <w:p w:rsidR="005308E6" w:rsidRPr="00BA62A9" w:rsidRDefault="005308E6" w:rsidP="001E3053">
            <w:pPr>
              <w:pStyle w:val="Body"/>
              <w:spacing w:after="0" w:line="240" w:lineRule="auto"/>
              <w:rPr>
                <w:rFonts w:ascii="Arial" w:hAnsi="Arial" w:cs="Arial"/>
                <w:bCs/>
                <w:sz w:val="24"/>
                <w:szCs w:val="24"/>
                <w:lang w:val="en-US"/>
              </w:rPr>
            </w:pPr>
          </w:p>
          <w:p w:rsidR="005308E6" w:rsidRPr="00BA62A9" w:rsidRDefault="00BA62A9" w:rsidP="001E3053">
            <w:pPr>
              <w:pStyle w:val="Body"/>
              <w:spacing w:after="0" w:line="240" w:lineRule="auto"/>
              <w:rPr>
                <w:rFonts w:ascii="Arial" w:hAnsi="Arial" w:cs="Arial"/>
                <w:bCs/>
                <w:sz w:val="24"/>
                <w:szCs w:val="24"/>
                <w:lang w:val="en-US"/>
              </w:rPr>
            </w:pPr>
            <w:r w:rsidRPr="00BA62A9">
              <w:rPr>
                <w:rFonts w:ascii="Arial" w:hAnsi="Arial" w:cs="Arial"/>
                <w:bCs/>
                <w:sz w:val="24"/>
                <w:szCs w:val="24"/>
                <w:lang w:val="en-US"/>
              </w:rPr>
              <w:t>The register presented outlined incidents of potenti</w:t>
            </w:r>
            <w:r w:rsidR="008449D0">
              <w:rPr>
                <w:rFonts w:ascii="Arial" w:hAnsi="Arial" w:cs="Arial"/>
                <w:bCs/>
                <w:sz w:val="24"/>
                <w:szCs w:val="24"/>
                <w:lang w:val="en-US"/>
              </w:rPr>
              <w:t xml:space="preserve">al irregularity </w:t>
            </w:r>
            <w:r w:rsidRPr="00BA62A9">
              <w:rPr>
                <w:rFonts w:ascii="Arial" w:hAnsi="Arial" w:cs="Arial"/>
                <w:bCs/>
                <w:sz w:val="24"/>
                <w:szCs w:val="24"/>
                <w:lang w:val="en-US"/>
              </w:rPr>
              <w:t>where the use of the Raising Concerns Policy was considered</w:t>
            </w:r>
            <w:r w:rsidR="008449D0">
              <w:rPr>
                <w:rFonts w:ascii="Arial" w:hAnsi="Arial" w:cs="Arial"/>
                <w:bCs/>
                <w:sz w:val="24"/>
                <w:szCs w:val="24"/>
                <w:lang w:val="en-US"/>
              </w:rPr>
              <w:t xml:space="preserve"> but not invoked</w:t>
            </w:r>
            <w:r w:rsidRPr="00BA62A9">
              <w:rPr>
                <w:rFonts w:ascii="Arial" w:hAnsi="Arial" w:cs="Arial"/>
                <w:bCs/>
                <w:sz w:val="24"/>
                <w:szCs w:val="24"/>
                <w:lang w:val="en-US"/>
              </w:rPr>
              <w:t>. The Internal Auditor confirmed that it is not a report seen at other colleges with e</w:t>
            </w:r>
            <w:r w:rsidR="005308E6" w:rsidRPr="00BA62A9">
              <w:rPr>
                <w:rFonts w:ascii="Arial" w:hAnsi="Arial" w:cs="Arial"/>
                <w:bCs/>
                <w:sz w:val="24"/>
                <w:szCs w:val="24"/>
                <w:lang w:val="en-US"/>
              </w:rPr>
              <w:t xml:space="preserve">xam malpractice </w:t>
            </w:r>
            <w:r w:rsidRPr="00BA62A9">
              <w:rPr>
                <w:rFonts w:ascii="Arial" w:hAnsi="Arial" w:cs="Arial"/>
                <w:bCs/>
                <w:sz w:val="24"/>
                <w:szCs w:val="24"/>
                <w:lang w:val="en-US"/>
              </w:rPr>
              <w:t xml:space="preserve">in particular </w:t>
            </w:r>
            <w:r w:rsidR="005308E6" w:rsidRPr="00BA62A9">
              <w:rPr>
                <w:rFonts w:ascii="Arial" w:hAnsi="Arial" w:cs="Arial"/>
                <w:bCs/>
                <w:sz w:val="24"/>
                <w:szCs w:val="24"/>
                <w:lang w:val="en-US"/>
              </w:rPr>
              <w:t xml:space="preserve">only reported when </w:t>
            </w:r>
            <w:r w:rsidRPr="00BA62A9">
              <w:rPr>
                <w:rFonts w:ascii="Arial" w:hAnsi="Arial" w:cs="Arial"/>
                <w:bCs/>
                <w:sz w:val="24"/>
                <w:szCs w:val="24"/>
                <w:lang w:val="en-US"/>
              </w:rPr>
              <w:t xml:space="preserve">there is a </w:t>
            </w:r>
            <w:r w:rsidR="005308E6" w:rsidRPr="00BA62A9">
              <w:rPr>
                <w:rFonts w:ascii="Arial" w:hAnsi="Arial" w:cs="Arial"/>
                <w:bCs/>
                <w:sz w:val="24"/>
                <w:szCs w:val="24"/>
                <w:lang w:val="en-US"/>
              </w:rPr>
              <w:t xml:space="preserve">whistleblowing </w:t>
            </w:r>
            <w:r w:rsidRPr="00BA62A9">
              <w:rPr>
                <w:rFonts w:ascii="Arial" w:hAnsi="Arial" w:cs="Arial"/>
                <w:bCs/>
                <w:sz w:val="24"/>
                <w:szCs w:val="24"/>
                <w:lang w:val="en-US"/>
              </w:rPr>
              <w:t xml:space="preserve">allegation </w:t>
            </w:r>
            <w:r w:rsidR="005308E6" w:rsidRPr="00BA62A9">
              <w:rPr>
                <w:rFonts w:ascii="Arial" w:hAnsi="Arial" w:cs="Arial"/>
                <w:bCs/>
                <w:sz w:val="24"/>
                <w:szCs w:val="24"/>
                <w:lang w:val="en-US"/>
              </w:rPr>
              <w:t xml:space="preserve">direct to </w:t>
            </w:r>
            <w:r w:rsidRPr="00BA62A9">
              <w:rPr>
                <w:rFonts w:ascii="Arial" w:hAnsi="Arial" w:cs="Arial"/>
                <w:bCs/>
                <w:sz w:val="24"/>
                <w:szCs w:val="24"/>
                <w:lang w:val="en-US"/>
              </w:rPr>
              <w:t xml:space="preserve">the </w:t>
            </w:r>
            <w:r w:rsidR="005308E6" w:rsidRPr="00BA62A9">
              <w:rPr>
                <w:rFonts w:ascii="Arial" w:hAnsi="Arial" w:cs="Arial"/>
                <w:bCs/>
                <w:sz w:val="24"/>
                <w:szCs w:val="24"/>
                <w:lang w:val="en-US"/>
              </w:rPr>
              <w:t xml:space="preserve">exam board. </w:t>
            </w:r>
          </w:p>
          <w:p w:rsidR="005308E6" w:rsidRPr="00BA62A9" w:rsidRDefault="005308E6" w:rsidP="001E3053">
            <w:pPr>
              <w:pStyle w:val="Body"/>
              <w:spacing w:after="0" w:line="240" w:lineRule="auto"/>
              <w:rPr>
                <w:rFonts w:ascii="Arial" w:hAnsi="Arial" w:cs="Arial"/>
                <w:bCs/>
                <w:sz w:val="24"/>
                <w:szCs w:val="24"/>
                <w:lang w:val="en-US"/>
              </w:rPr>
            </w:pPr>
          </w:p>
          <w:p w:rsidR="005308E6" w:rsidRPr="00BA62A9" w:rsidRDefault="00BA62A9" w:rsidP="00BA62A9">
            <w:pPr>
              <w:pStyle w:val="Body"/>
              <w:spacing w:after="0" w:line="240" w:lineRule="auto"/>
              <w:rPr>
                <w:rFonts w:ascii="Arial" w:hAnsi="Arial" w:cs="Arial"/>
                <w:bCs/>
                <w:sz w:val="24"/>
                <w:szCs w:val="24"/>
                <w:lang w:val="en-US"/>
              </w:rPr>
            </w:pPr>
            <w:r w:rsidRPr="00BA62A9">
              <w:rPr>
                <w:rFonts w:ascii="Arial" w:hAnsi="Arial" w:cs="Arial"/>
                <w:bCs/>
                <w:sz w:val="24"/>
                <w:szCs w:val="24"/>
                <w:lang w:val="en-US"/>
              </w:rPr>
              <w:t xml:space="preserve">It was agreed that the record is a good management tool and the previous agreement for triangulation will continue to include relevant matters identified by HR and the Exams team. </w:t>
            </w:r>
          </w:p>
          <w:p w:rsidR="005308E6" w:rsidRPr="00BA62A9" w:rsidRDefault="005308E6" w:rsidP="001E3053">
            <w:pPr>
              <w:pStyle w:val="Body"/>
              <w:spacing w:after="0" w:line="240" w:lineRule="auto"/>
              <w:rPr>
                <w:rFonts w:ascii="Arial" w:hAnsi="Arial" w:cs="Arial"/>
                <w:bCs/>
                <w:sz w:val="24"/>
                <w:szCs w:val="24"/>
                <w:lang w:val="en-US"/>
              </w:rPr>
            </w:pPr>
          </w:p>
          <w:p w:rsidR="005308E6" w:rsidRDefault="00BA62A9" w:rsidP="001E3053">
            <w:pPr>
              <w:pStyle w:val="Body"/>
              <w:spacing w:after="0" w:line="240" w:lineRule="auto"/>
              <w:rPr>
                <w:rFonts w:ascii="Arial" w:hAnsi="Arial" w:cs="Arial"/>
                <w:b/>
                <w:bCs/>
                <w:i/>
                <w:sz w:val="24"/>
                <w:szCs w:val="24"/>
                <w:lang w:val="en-US"/>
              </w:rPr>
            </w:pPr>
            <w:r w:rsidRPr="00E3348E">
              <w:rPr>
                <w:rFonts w:ascii="Arial" w:hAnsi="Arial" w:cs="Arial"/>
                <w:b/>
                <w:bCs/>
                <w:i/>
                <w:sz w:val="24"/>
                <w:szCs w:val="24"/>
                <w:lang w:val="en-US"/>
              </w:rPr>
              <w:t>In future years the management team will review the register and discuss with the Chair of the Committee to determine the scope of the report required under the Committee’s terms of reference.</w:t>
            </w:r>
          </w:p>
          <w:p w:rsidR="00E3348E" w:rsidRDefault="00E3348E" w:rsidP="001E3053">
            <w:pPr>
              <w:pStyle w:val="Body"/>
              <w:spacing w:after="0" w:line="240" w:lineRule="auto"/>
              <w:rPr>
                <w:rFonts w:ascii="Arial" w:hAnsi="Arial" w:cs="Arial"/>
                <w:b/>
                <w:bCs/>
                <w:i/>
                <w:sz w:val="24"/>
                <w:szCs w:val="24"/>
                <w:lang w:val="en-US"/>
              </w:rPr>
            </w:pPr>
          </w:p>
          <w:p w:rsidR="00E3348E" w:rsidRDefault="00E3348E" w:rsidP="001E3053">
            <w:pPr>
              <w:pStyle w:val="Body"/>
              <w:spacing w:after="0" w:line="240" w:lineRule="auto"/>
              <w:rPr>
                <w:rFonts w:ascii="Arial" w:hAnsi="Arial" w:cs="Arial"/>
                <w:b/>
                <w:bCs/>
                <w:sz w:val="24"/>
                <w:szCs w:val="24"/>
                <w:lang w:val="en-US"/>
              </w:rPr>
            </w:pPr>
            <w:r>
              <w:rPr>
                <w:rFonts w:ascii="Arial" w:hAnsi="Arial" w:cs="Arial"/>
                <w:b/>
                <w:bCs/>
                <w:sz w:val="24"/>
                <w:szCs w:val="24"/>
                <w:lang w:val="en-US"/>
              </w:rPr>
              <w:t>The report was noted</w:t>
            </w:r>
          </w:p>
          <w:p w:rsidR="008449D0" w:rsidRDefault="008449D0" w:rsidP="001E3053">
            <w:pPr>
              <w:pStyle w:val="Body"/>
              <w:spacing w:after="0" w:line="240" w:lineRule="auto"/>
              <w:rPr>
                <w:rFonts w:ascii="Arial" w:hAnsi="Arial" w:cs="Arial"/>
                <w:b/>
                <w:bCs/>
                <w:sz w:val="24"/>
                <w:szCs w:val="24"/>
                <w:lang w:val="en-US"/>
              </w:rPr>
            </w:pPr>
          </w:p>
          <w:p w:rsidR="008449D0" w:rsidRPr="00E3348E" w:rsidRDefault="008449D0" w:rsidP="001E3053">
            <w:pPr>
              <w:pStyle w:val="Body"/>
              <w:spacing w:after="0" w:line="240" w:lineRule="auto"/>
              <w:rPr>
                <w:rFonts w:ascii="Arial" w:hAnsi="Arial" w:cs="Arial"/>
                <w:b/>
                <w:bCs/>
                <w:sz w:val="24"/>
                <w:szCs w:val="24"/>
                <w:lang w:val="en-US"/>
              </w:rPr>
            </w:pPr>
          </w:p>
        </w:tc>
      </w:tr>
      <w:tr w:rsidR="0008596C" w:rsidTr="007B2E95">
        <w:trPr>
          <w:trHeight w:val="629"/>
        </w:trPr>
        <w:tc>
          <w:tcPr>
            <w:tcW w:w="1668" w:type="dxa"/>
            <w:gridSpan w:val="2"/>
            <w:tcBorders>
              <w:top w:val="nil"/>
              <w:left w:val="nil"/>
              <w:bottom w:val="nil"/>
              <w:right w:val="nil"/>
            </w:tcBorders>
            <w:shd w:val="clear" w:color="auto" w:fill="DBE5F1" w:themeFill="accent1" w:themeFillTint="33"/>
            <w:tcMar>
              <w:top w:w="80" w:type="dxa"/>
              <w:left w:w="80" w:type="dxa"/>
              <w:bottom w:w="80" w:type="dxa"/>
              <w:right w:w="80" w:type="dxa"/>
            </w:tcMar>
          </w:tcPr>
          <w:p w:rsidR="0008596C" w:rsidRPr="005D41E5" w:rsidRDefault="00BA62A9">
            <w:pPr>
              <w:pStyle w:val="Body"/>
              <w:spacing w:after="0" w:line="240" w:lineRule="auto"/>
              <w:rPr>
                <w:rFonts w:ascii="Arial" w:hAnsi="Arial" w:cs="Arial"/>
                <w:b/>
                <w:bCs/>
                <w:sz w:val="24"/>
                <w:szCs w:val="24"/>
                <w:lang w:val="en-US"/>
              </w:rPr>
            </w:pPr>
            <w:r>
              <w:rPr>
                <w:rFonts w:ascii="Arial" w:hAnsi="Arial" w:cs="Arial"/>
                <w:b/>
                <w:bCs/>
                <w:sz w:val="24"/>
                <w:szCs w:val="24"/>
                <w:lang w:val="en-US"/>
              </w:rPr>
              <w:lastRenderedPageBreak/>
              <w:t>AC</w:t>
            </w:r>
            <w:r w:rsidR="00C8716F">
              <w:rPr>
                <w:rFonts w:ascii="Arial" w:hAnsi="Arial" w:cs="Arial"/>
                <w:b/>
                <w:bCs/>
                <w:sz w:val="24"/>
                <w:szCs w:val="24"/>
                <w:lang w:val="en-US"/>
              </w:rPr>
              <w:t>/23/20</w:t>
            </w:r>
          </w:p>
        </w:tc>
        <w:tc>
          <w:tcPr>
            <w:tcW w:w="7863" w:type="dxa"/>
            <w:gridSpan w:val="2"/>
            <w:tcBorders>
              <w:top w:val="nil"/>
              <w:left w:val="nil"/>
              <w:bottom w:val="nil"/>
              <w:right w:val="nil"/>
            </w:tcBorders>
            <w:shd w:val="clear" w:color="auto" w:fill="DBE5F1" w:themeFill="accent1" w:themeFillTint="33"/>
            <w:tcMar>
              <w:top w:w="80" w:type="dxa"/>
              <w:left w:w="80" w:type="dxa"/>
              <w:bottom w:w="80" w:type="dxa"/>
              <w:right w:w="80" w:type="dxa"/>
            </w:tcMar>
          </w:tcPr>
          <w:p w:rsidR="0008596C" w:rsidRDefault="00A31BA2" w:rsidP="00C16265">
            <w:pPr>
              <w:pStyle w:val="Body"/>
              <w:spacing w:after="0" w:line="240" w:lineRule="auto"/>
              <w:rPr>
                <w:rFonts w:ascii="Arial" w:hAnsi="Arial" w:cs="Arial"/>
                <w:b/>
                <w:bCs/>
                <w:sz w:val="24"/>
                <w:szCs w:val="24"/>
                <w:lang w:val="en-US"/>
              </w:rPr>
            </w:pPr>
            <w:r>
              <w:rPr>
                <w:rFonts w:ascii="Arial" w:hAnsi="Arial" w:cs="Arial"/>
                <w:b/>
                <w:bCs/>
                <w:sz w:val="24"/>
                <w:szCs w:val="24"/>
                <w:lang w:val="en-US"/>
              </w:rPr>
              <w:t>Recommendation</w:t>
            </w:r>
            <w:r w:rsidR="00C8716F">
              <w:rPr>
                <w:rFonts w:ascii="Arial" w:hAnsi="Arial" w:cs="Arial"/>
                <w:b/>
                <w:bCs/>
                <w:sz w:val="24"/>
                <w:szCs w:val="24"/>
                <w:lang w:val="en-US"/>
              </w:rPr>
              <w:t xml:space="preserve"> on the appointment of the Financial Statement Auditors</w:t>
            </w:r>
          </w:p>
        </w:tc>
      </w:tr>
      <w:tr w:rsidR="00EA2A54" w:rsidTr="00E3348E">
        <w:trPr>
          <w:trHeight w:val="1055"/>
        </w:trPr>
        <w:tc>
          <w:tcPr>
            <w:tcW w:w="9531" w:type="dxa"/>
            <w:gridSpan w:val="4"/>
            <w:tcBorders>
              <w:top w:val="nil"/>
              <w:left w:val="nil"/>
              <w:bottom w:val="nil"/>
              <w:right w:val="nil"/>
            </w:tcBorders>
            <w:shd w:val="clear" w:color="auto" w:fill="auto"/>
            <w:tcMar>
              <w:top w:w="80" w:type="dxa"/>
              <w:left w:w="80" w:type="dxa"/>
              <w:bottom w:w="80" w:type="dxa"/>
              <w:right w:w="80" w:type="dxa"/>
            </w:tcMar>
          </w:tcPr>
          <w:p w:rsidR="00EA2A54" w:rsidRPr="008033EC" w:rsidRDefault="00EA2A54">
            <w:pPr>
              <w:pStyle w:val="Body"/>
              <w:spacing w:after="0" w:line="240" w:lineRule="auto"/>
              <w:rPr>
                <w:rFonts w:ascii="Arial" w:hAnsi="Arial" w:cs="Arial"/>
                <w:bCs/>
                <w:sz w:val="24"/>
                <w:szCs w:val="24"/>
                <w:lang w:val="en-US"/>
              </w:rPr>
            </w:pPr>
            <w:r w:rsidRPr="008033EC">
              <w:rPr>
                <w:rFonts w:ascii="Arial" w:hAnsi="Arial" w:cs="Arial"/>
                <w:bCs/>
                <w:sz w:val="24"/>
                <w:szCs w:val="24"/>
                <w:lang w:val="en-US"/>
              </w:rPr>
              <w:t xml:space="preserve">The report was outlined by the Executive Director of Finance setting out the basis for the recommendation in terms of expertise, level of service and costs. </w:t>
            </w:r>
            <w:r w:rsidR="008033EC" w:rsidRPr="008033EC">
              <w:rPr>
                <w:rFonts w:ascii="Arial" w:hAnsi="Arial" w:cs="Arial"/>
                <w:bCs/>
                <w:sz w:val="24"/>
                <w:szCs w:val="24"/>
                <w:lang w:val="en-US"/>
              </w:rPr>
              <w:t>It was noted that the mana</w:t>
            </w:r>
            <w:r w:rsidR="008449D0">
              <w:rPr>
                <w:rFonts w:ascii="Arial" w:hAnsi="Arial" w:cs="Arial"/>
                <w:bCs/>
                <w:sz w:val="24"/>
                <w:szCs w:val="24"/>
                <w:lang w:val="en-US"/>
              </w:rPr>
              <w:t>ger was leaving but that the on</w:t>
            </w:r>
            <w:bookmarkStart w:id="0" w:name="_GoBack"/>
            <w:bookmarkEnd w:id="0"/>
            <w:r w:rsidR="008033EC" w:rsidRPr="008033EC">
              <w:rPr>
                <w:rFonts w:ascii="Arial" w:hAnsi="Arial" w:cs="Arial"/>
                <w:bCs/>
                <w:sz w:val="24"/>
                <w:szCs w:val="24"/>
                <w:lang w:val="en-US"/>
              </w:rPr>
              <w:t xml:space="preserve">site team will remain </w:t>
            </w:r>
            <w:r w:rsidR="008033EC">
              <w:rPr>
                <w:rFonts w:ascii="Arial" w:hAnsi="Arial" w:cs="Arial"/>
                <w:bCs/>
                <w:sz w:val="24"/>
                <w:szCs w:val="24"/>
                <w:lang w:val="en-US"/>
              </w:rPr>
              <w:t xml:space="preserve">largely </w:t>
            </w:r>
            <w:r w:rsidR="008033EC" w:rsidRPr="008033EC">
              <w:rPr>
                <w:rFonts w:ascii="Arial" w:hAnsi="Arial" w:cs="Arial"/>
                <w:bCs/>
                <w:sz w:val="24"/>
                <w:szCs w:val="24"/>
                <w:lang w:val="en-US"/>
              </w:rPr>
              <w:t>the same.</w:t>
            </w:r>
          </w:p>
          <w:p w:rsidR="00EA2A54" w:rsidRPr="008033EC" w:rsidRDefault="00EA2A54">
            <w:pPr>
              <w:pStyle w:val="Body"/>
              <w:spacing w:after="0" w:line="240" w:lineRule="auto"/>
              <w:rPr>
                <w:rFonts w:ascii="Arial" w:hAnsi="Arial" w:cs="Arial"/>
                <w:bCs/>
                <w:sz w:val="24"/>
                <w:szCs w:val="24"/>
                <w:lang w:val="en-US"/>
              </w:rPr>
            </w:pPr>
          </w:p>
          <w:p w:rsidR="008033EC" w:rsidRPr="008033EC" w:rsidRDefault="00EA2A54" w:rsidP="008033EC">
            <w:pPr>
              <w:jc w:val="both"/>
              <w:rPr>
                <w:rFonts w:ascii="Arial" w:hAnsi="Arial" w:cs="Arial"/>
                <w:b/>
                <w:bCs/>
              </w:rPr>
            </w:pPr>
            <w:r w:rsidRPr="008033EC">
              <w:rPr>
                <w:rFonts w:ascii="Arial" w:hAnsi="Arial" w:cs="Arial"/>
                <w:b/>
                <w:bCs/>
              </w:rPr>
              <w:t xml:space="preserve">The </w:t>
            </w:r>
            <w:r w:rsidR="008033EC" w:rsidRPr="008033EC">
              <w:rPr>
                <w:rFonts w:ascii="Arial" w:hAnsi="Arial" w:cs="Arial"/>
                <w:b/>
                <w:bCs/>
              </w:rPr>
              <w:t>Committee confirmed</w:t>
            </w:r>
            <w:r w:rsidR="0063273E">
              <w:rPr>
                <w:rFonts w:ascii="Arial" w:hAnsi="Arial" w:cs="Arial"/>
                <w:b/>
                <w:bCs/>
              </w:rPr>
              <w:t>:</w:t>
            </w:r>
          </w:p>
          <w:p w:rsidR="008033EC" w:rsidRPr="008033EC" w:rsidRDefault="008033EC" w:rsidP="008033EC">
            <w:pPr>
              <w:jc w:val="both"/>
              <w:rPr>
                <w:rFonts w:ascii="Arial" w:hAnsi="Arial" w:cs="Arial"/>
                <w:b/>
                <w:bCs/>
              </w:rPr>
            </w:pPr>
          </w:p>
          <w:p w:rsidR="008033EC" w:rsidRPr="008033EC" w:rsidRDefault="008033EC" w:rsidP="008033EC">
            <w:pPr>
              <w:pStyle w:val="ListParagraph"/>
              <w:numPr>
                <w:ilvl w:val="0"/>
                <w:numId w:val="11"/>
              </w:numPr>
              <w:jc w:val="both"/>
              <w:rPr>
                <w:rFonts w:ascii="Arial" w:hAnsi="Arial" w:cs="Arial"/>
                <w:b/>
                <w:sz w:val="24"/>
                <w:szCs w:val="24"/>
              </w:rPr>
            </w:pPr>
            <w:r w:rsidRPr="008033EC">
              <w:rPr>
                <w:rFonts w:ascii="Arial" w:hAnsi="Arial" w:cs="Arial"/>
                <w:b/>
                <w:bCs/>
                <w:sz w:val="24"/>
                <w:szCs w:val="24"/>
              </w:rPr>
              <w:t xml:space="preserve">They </w:t>
            </w:r>
            <w:r w:rsidR="00EA2A54" w:rsidRPr="008033EC">
              <w:rPr>
                <w:rFonts w:ascii="Arial" w:hAnsi="Arial" w:cs="Arial"/>
                <w:b/>
                <w:bCs/>
                <w:sz w:val="24"/>
                <w:szCs w:val="24"/>
              </w:rPr>
              <w:t xml:space="preserve">support the recommendation of </w:t>
            </w:r>
            <w:proofErr w:type="spellStart"/>
            <w:r w:rsidR="00EA2A54" w:rsidRPr="008033EC">
              <w:rPr>
                <w:rFonts w:ascii="Arial" w:hAnsi="Arial" w:cs="Arial"/>
                <w:b/>
                <w:bCs/>
                <w:sz w:val="24"/>
                <w:szCs w:val="24"/>
              </w:rPr>
              <w:t>MacIntyre</w:t>
            </w:r>
            <w:proofErr w:type="spellEnd"/>
            <w:r w:rsidR="00EA2A54" w:rsidRPr="008033EC">
              <w:rPr>
                <w:rFonts w:ascii="Arial" w:hAnsi="Arial" w:cs="Arial"/>
                <w:b/>
                <w:bCs/>
                <w:sz w:val="24"/>
                <w:szCs w:val="24"/>
              </w:rPr>
              <w:t xml:space="preserve"> Hudson as the Financial Statement Auditors for 2020-2-21</w:t>
            </w:r>
            <w:r w:rsidRPr="008033EC">
              <w:rPr>
                <w:rFonts w:ascii="Arial" w:hAnsi="Arial" w:cs="Arial"/>
                <w:b/>
                <w:sz w:val="24"/>
                <w:szCs w:val="24"/>
              </w:rPr>
              <w:t xml:space="preserve"> and </w:t>
            </w:r>
          </w:p>
          <w:p w:rsidR="00EA2A54" w:rsidRPr="00E3348E" w:rsidRDefault="008033EC" w:rsidP="00E3348E">
            <w:pPr>
              <w:pStyle w:val="ListParagraph"/>
              <w:numPr>
                <w:ilvl w:val="0"/>
                <w:numId w:val="11"/>
              </w:numPr>
              <w:jc w:val="both"/>
              <w:rPr>
                <w:rFonts w:ascii="Arial" w:hAnsi="Arial" w:cs="Arial"/>
                <w:b/>
                <w:sz w:val="24"/>
                <w:szCs w:val="24"/>
              </w:rPr>
            </w:pPr>
            <w:r w:rsidRPr="008033EC">
              <w:rPr>
                <w:rFonts w:ascii="Arial" w:hAnsi="Arial" w:cs="Arial"/>
                <w:b/>
                <w:sz w:val="24"/>
                <w:szCs w:val="24"/>
              </w:rPr>
              <w:t xml:space="preserve">They record thanks to Andrew </w:t>
            </w:r>
            <w:proofErr w:type="spellStart"/>
            <w:r w:rsidRPr="008033EC">
              <w:rPr>
                <w:rFonts w:ascii="Arial" w:hAnsi="Arial" w:cs="Arial"/>
                <w:b/>
                <w:sz w:val="24"/>
                <w:szCs w:val="24"/>
              </w:rPr>
              <w:t>Devonald</w:t>
            </w:r>
            <w:proofErr w:type="spellEnd"/>
            <w:r w:rsidRPr="008033EC">
              <w:rPr>
                <w:rFonts w:ascii="Arial" w:hAnsi="Arial" w:cs="Arial"/>
                <w:b/>
                <w:sz w:val="24"/>
                <w:szCs w:val="24"/>
              </w:rPr>
              <w:t xml:space="preserve"> (the outgoing manager) for his service to the Group</w:t>
            </w:r>
            <w:r w:rsidR="00E3348E">
              <w:rPr>
                <w:rFonts w:ascii="Arial" w:hAnsi="Arial" w:cs="Arial"/>
                <w:b/>
                <w:sz w:val="24"/>
                <w:szCs w:val="24"/>
              </w:rPr>
              <w:t>.</w:t>
            </w:r>
          </w:p>
        </w:tc>
      </w:tr>
      <w:tr w:rsidR="008033EC" w:rsidTr="007B2E95">
        <w:trPr>
          <w:trHeight w:val="603"/>
        </w:trPr>
        <w:tc>
          <w:tcPr>
            <w:tcW w:w="1668" w:type="dxa"/>
            <w:gridSpan w:val="2"/>
            <w:tcBorders>
              <w:top w:val="nil"/>
              <w:left w:val="nil"/>
              <w:bottom w:val="nil"/>
              <w:right w:val="nil"/>
            </w:tcBorders>
            <w:shd w:val="clear" w:color="auto" w:fill="DBE5F1" w:themeFill="accent1" w:themeFillTint="33"/>
            <w:tcMar>
              <w:top w:w="80" w:type="dxa"/>
              <w:left w:w="80" w:type="dxa"/>
              <w:bottom w:w="80" w:type="dxa"/>
              <w:right w:w="80" w:type="dxa"/>
            </w:tcMar>
          </w:tcPr>
          <w:p w:rsidR="008033EC" w:rsidRPr="005D41E5" w:rsidRDefault="00E3348E">
            <w:pPr>
              <w:pStyle w:val="Body"/>
              <w:spacing w:after="0" w:line="240" w:lineRule="auto"/>
              <w:rPr>
                <w:rFonts w:ascii="Arial" w:hAnsi="Arial" w:cs="Arial"/>
                <w:b/>
                <w:bCs/>
                <w:sz w:val="24"/>
                <w:szCs w:val="24"/>
                <w:lang w:val="en-US"/>
              </w:rPr>
            </w:pPr>
            <w:r>
              <w:rPr>
                <w:rFonts w:ascii="Arial" w:hAnsi="Arial" w:cs="Arial"/>
                <w:b/>
                <w:bCs/>
                <w:sz w:val="24"/>
                <w:szCs w:val="24"/>
                <w:lang w:val="en-US"/>
              </w:rPr>
              <w:t>AC/24/20</w:t>
            </w:r>
          </w:p>
        </w:tc>
        <w:tc>
          <w:tcPr>
            <w:tcW w:w="7863" w:type="dxa"/>
            <w:gridSpan w:val="2"/>
            <w:tcBorders>
              <w:top w:val="nil"/>
              <w:left w:val="nil"/>
              <w:bottom w:val="nil"/>
              <w:right w:val="nil"/>
            </w:tcBorders>
            <w:shd w:val="clear" w:color="auto" w:fill="DBE5F1" w:themeFill="accent1" w:themeFillTint="33"/>
            <w:tcMar>
              <w:top w:w="80" w:type="dxa"/>
              <w:left w:w="80" w:type="dxa"/>
              <w:bottom w:w="80" w:type="dxa"/>
              <w:right w:w="80" w:type="dxa"/>
            </w:tcMar>
          </w:tcPr>
          <w:p w:rsidR="008033EC" w:rsidRDefault="008033EC" w:rsidP="008033EC">
            <w:pPr>
              <w:pStyle w:val="Body"/>
              <w:spacing w:after="0" w:line="240" w:lineRule="auto"/>
              <w:rPr>
                <w:rFonts w:ascii="Arial" w:hAnsi="Arial" w:cs="Arial"/>
                <w:b/>
                <w:bCs/>
                <w:sz w:val="24"/>
                <w:szCs w:val="24"/>
                <w:lang w:val="en-US"/>
              </w:rPr>
            </w:pPr>
            <w:r>
              <w:rPr>
                <w:rFonts w:ascii="Arial" w:hAnsi="Arial" w:cs="Arial"/>
                <w:b/>
                <w:bCs/>
                <w:sz w:val="24"/>
                <w:szCs w:val="24"/>
                <w:lang w:val="en-US"/>
              </w:rPr>
              <w:t>Appointment of Internal Auditors</w:t>
            </w:r>
          </w:p>
          <w:p w:rsidR="008033EC" w:rsidRDefault="008033EC" w:rsidP="000555C1">
            <w:pPr>
              <w:pStyle w:val="Body"/>
              <w:spacing w:after="0" w:line="240" w:lineRule="auto"/>
              <w:rPr>
                <w:rFonts w:ascii="Arial" w:hAnsi="Arial" w:cs="Arial"/>
                <w:b/>
                <w:bCs/>
                <w:sz w:val="24"/>
                <w:szCs w:val="24"/>
                <w:lang w:val="en-US"/>
              </w:rPr>
            </w:pPr>
          </w:p>
        </w:tc>
      </w:tr>
      <w:tr w:rsidR="008033EC" w:rsidTr="008033EC">
        <w:trPr>
          <w:trHeight w:val="603"/>
        </w:trPr>
        <w:tc>
          <w:tcPr>
            <w:tcW w:w="9531" w:type="dxa"/>
            <w:gridSpan w:val="4"/>
            <w:tcBorders>
              <w:top w:val="nil"/>
              <w:left w:val="nil"/>
              <w:bottom w:val="nil"/>
              <w:right w:val="nil"/>
            </w:tcBorders>
            <w:shd w:val="clear" w:color="auto" w:fill="FFFFFF" w:themeFill="background1"/>
            <w:tcMar>
              <w:top w:w="80" w:type="dxa"/>
              <w:left w:w="80" w:type="dxa"/>
              <w:bottom w:w="80" w:type="dxa"/>
              <w:right w:w="80" w:type="dxa"/>
            </w:tcMar>
          </w:tcPr>
          <w:p w:rsidR="008033EC" w:rsidRDefault="008033EC" w:rsidP="000555C1">
            <w:pPr>
              <w:pStyle w:val="Body"/>
              <w:spacing w:after="0" w:line="240" w:lineRule="auto"/>
              <w:rPr>
                <w:rFonts w:ascii="Arial" w:hAnsi="Arial" w:cs="Arial"/>
                <w:b/>
                <w:bCs/>
                <w:sz w:val="24"/>
                <w:szCs w:val="24"/>
                <w:lang w:val="en-US"/>
              </w:rPr>
            </w:pPr>
            <w:r>
              <w:rPr>
                <w:rFonts w:ascii="Arial" w:hAnsi="Arial" w:cs="Arial"/>
                <w:b/>
                <w:bCs/>
                <w:sz w:val="24"/>
                <w:szCs w:val="24"/>
                <w:lang w:val="en-US"/>
              </w:rPr>
              <w:t>JC left the meeting</w:t>
            </w:r>
          </w:p>
          <w:p w:rsidR="008033EC" w:rsidRDefault="008033EC" w:rsidP="000555C1">
            <w:pPr>
              <w:pStyle w:val="Body"/>
              <w:spacing w:after="0" w:line="240" w:lineRule="auto"/>
              <w:rPr>
                <w:rFonts w:ascii="Arial" w:hAnsi="Arial" w:cs="Arial"/>
                <w:b/>
                <w:bCs/>
                <w:sz w:val="24"/>
                <w:szCs w:val="24"/>
                <w:lang w:val="en-US"/>
              </w:rPr>
            </w:pPr>
          </w:p>
          <w:p w:rsidR="008033EC" w:rsidRPr="00E3348E" w:rsidRDefault="008033EC" w:rsidP="000555C1">
            <w:pPr>
              <w:pStyle w:val="Body"/>
              <w:spacing w:after="0" w:line="240" w:lineRule="auto"/>
              <w:rPr>
                <w:rFonts w:ascii="Arial" w:hAnsi="Arial" w:cs="Arial"/>
                <w:bCs/>
                <w:sz w:val="24"/>
                <w:szCs w:val="24"/>
                <w:lang w:val="en-US"/>
              </w:rPr>
            </w:pPr>
            <w:r w:rsidRPr="00E3348E">
              <w:rPr>
                <w:rFonts w:ascii="Arial" w:hAnsi="Arial" w:cs="Arial"/>
                <w:bCs/>
                <w:sz w:val="24"/>
                <w:szCs w:val="24"/>
                <w:lang w:val="en-US"/>
              </w:rPr>
              <w:t>The Executive Director of Finance presented the report and the recommendation to support the ongoing appointment of ICCA in 2020-2021 based on their expertise in the sector both in terms of finances and funding and in terms of their ability to add value in their other audits. Good progress has been made in adapting the audit process to operate remotely to complete the planned programme.</w:t>
            </w:r>
          </w:p>
          <w:p w:rsidR="008033EC" w:rsidRPr="00E3348E" w:rsidRDefault="008033EC" w:rsidP="000555C1">
            <w:pPr>
              <w:pStyle w:val="Body"/>
              <w:spacing w:after="0" w:line="240" w:lineRule="auto"/>
              <w:rPr>
                <w:rFonts w:ascii="Arial" w:hAnsi="Arial" w:cs="Arial"/>
                <w:bCs/>
                <w:sz w:val="24"/>
                <w:szCs w:val="24"/>
                <w:lang w:val="en-US"/>
              </w:rPr>
            </w:pPr>
          </w:p>
          <w:p w:rsidR="008033EC" w:rsidRDefault="008033EC" w:rsidP="008033EC">
            <w:pPr>
              <w:pStyle w:val="Body"/>
              <w:spacing w:after="0" w:line="240" w:lineRule="auto"/>
              <w:rPr>
                <w:rFonts w:ascii="Arial" w:hAnsi="Arial" w:cs="Arial"/>
                <w:bCs/>
                <w:sz w:val="24"/>
                <w:szCs w:val="24"/>
                <w:lang w:val="en-US"/>
              </w:rPr>
            </w:pPr>
            <w:r w:rsidRPr="00E3348E">
              <w:rPr>
                <w:rFonts w:ascii="Arial" w:hAnsi="Arial" w:cs="Arial"/>
                <w:bCs/>
                <w:sz w:val="24"/>
                <w:szCs w:val="24"/>
                <w:lang w:val="en-US"/>
              </w:rPr>
              <w:t>Although the Committee noted this will be the 4</w:t>
            </w:r>
            <w:r w:rsidRPr="00E3348E">
              <w:rPr>
                <w:rFonts w:ascii="Arial" w:hAnsi="Arial" w:cs="Arial"/>
                <w:bCs/>
                <w:sz w:val="24"/>
                <w:szCs w:val="24"/>
                <w:vertAlign w:val="superscript"/>
                <w:lang w:val="en-US"/>
              </w:rPr>
              <w:t>th</w:t>
            </w:r>
            <w:r w:rsidRPr="00E3348E">
              <w:rPr>
                <w:rFonts w:ascii="Arial" w:hAnsi="Arial" w:cs="Arial"/>
                <w:bCs/>
                <w:sz w:val="24"/>
                <w:szCs w:val="24"/>
                <w:lang w:val="en-US"/>
              </w:rPr>
              <w:t xml:space="preserve"> year for ICCA they supported the recommendation </w:t>
            </w:r>
            <w:r w:rsidR="00E3348E" w:rsidRPr="00E3348E">
              <w:rPr>
                <w:rFonts w:ascii="Arial" w:hAnsi="Arial" w:cs="Arial"/>
                <w:bCs/>
                <w:sz w:val="24"/>
                <w:szCs w:val="24"/>
                <w:lang w:val="en-US"/>
              </w:rPr>
              <w:t xml:space="preserve">based on the good service received </w:t>
            </w:r>
            <w:r w:rsidRPr="00E3348E">
              <w:rPr>
                <w:rFonts w:ascii="Arial" w:hAnsi="Arial" w:cs="Arial"/>
                <w:bCs/>
                <w:sz w:val="24"/>
                <w:szCs w:val="24"/>
                <w:lang w:val="en-US"/>
              </w:rPr>
              <w:t>and the need to avoid remote tender exercises</w:t>
            </w:r>
            <w:r w:rsidR="00E3348E">
              <w:rPr>
                <w:rFonts w:ascii="Arial" w:hAnsi="Arial" w:cs="Arial"/>
                <w:bCs/>
                <w:sz w:val="24"/>
                <w:szCs w:val="24"/>
                <w:lang w:val="en-US"/>
              </w:rPr>
              <w:t>.</w:t>
            </w:r>
          </w:p>
          <w:p w:rsidR="00E3348E" w:rsidRDefault="00E3348E" w:rsidP="008033EC">
            <w:pPr>
              <w:pStyle w:val="Body"/>
              <w:spacing w:after="0" w:line="240" w:lineRule="auto"/>
              <w:rPr>
                <w:rFonts w:ascii="Arial" w:hAnsi="Arial" w:cs="Arial"/>
                <w:bCs/>
                <w:sz w:val="24"/>
                <w:szCs w:val="24"/>
                <w:lang w:val="en-US"/>
              </w:rPr>
            </w:pPr>
          </w:p>
          <w:p w:rsidR="00E3348E" w:rsidRPr="00E3348E" w:rsidRDefault="00E3348E" w:rsidP="008033EC">
            <w:pPr>
              <w:pStyle w:val="Body"/>
              <w:spacing w:after="0" w:line="240" w:lineRule="auto"/>
              <w:rPr>
                <w:rFonts w:ascii="Arial" w:hAnsi="Arial" w:cs="Arial"/>
                <w:b/>
                <w:bCs/>
                <w:sz w:val="24"/>
                <w:szCs w:val="24"/>
                <w:lang w:val="en-US"/>
              </w:rPr>
            </w:pPr>
            <w:r w:rsidRPr="00E3348E">
              <w:rPr>
                <w:rFonts w:ascii="Arial" w:hAnsi="Arial" w:cs="Arial"/>
                <w:b/>
                <w:bCs/>
                <w:sz w:val="24"/>
                <w:szCs w:val="24"/>
                <w:lang w:val="en-US"/>
              </w:rPr>
              <w:t>The Committee recommended the appointment of ICCA as the Internal Auditors for 2020-2021</w:t>
            </w:r>
          </w:p>
          <w:p w:rsidR="008033EC" w:rsidRDefault="008033EC" w:rsidP="00E3348E">
            <w:pPr>
              <w:pStyle w:val="Body"/>
              <w:spacing w:after="0" w:line="240" w:lineRule="auto"/>
              <w:rPr>
                <w:rFonts w:ascii="Arial" w:hAnsi="Arial" w:cs="Arial"/>
                <w:b/>
                <w:bCs/>
                <w:sz w:val="24"/>
                <w:szCs w:val="24"/>
                <w:lang w:val="en-US"/>
              </w:rPr>
            </w:pPr>
          </w:p>
        </w:tc>
      </w:tr>
      <w:tr w:rsidR="007B2E95" w:rsidTr="007B2E95">
        <w:trPr>
          <w:trHeight w:val="603"/>
        </w:trPr>
        <w:tc>
          <w:tcPr>
            <w:tcW w:w="1668" w:type="dxa"/>
            <w:gridSpan w:val="2"/>
            <w:tcBorders>
              <w:top w:val="nil"/>
              <w:left w:val="nil"/>
              <w:bottom w:val="nil"/>
              <w:right w:val="nil"/>
            </w:tcBorders>
            <w:shd w:val="clear" w:color="auto" w:fill="DBE5F1" w:themeFill="accent1" w:themeFillTint="33"/>
            <w:tcMar>
              <w:top w:w="80" w:type="dxa"/>
              <w:left w:w="80" w:type="dxa"/>
              <w:bottom w:w="80" w:type="dxa"/>
              <w:right w:w="80" w:type="dxa"/>
            </w:tcMar>
          </w:tcPr>
          <w:p w:rsidR="007B2E95" w:rsidRPr="005D41E5" w:rsidRDefault="00E3348E">
            <w:pPr>
              <w:pStyle w:val="Body"/>
              <w:spacing w:after="0" w:line="240" w:lineRule="auto"/>
              <w:rPr>
                <w:rFonts w:ascii="Arial" w:hAnsi="Arial" w:cs="Arial"/>
                <w:b/>
                <w:bCs/>
                <w:sz w:val="24"/>
                <w:szCs w:val="24"/>
                <w:lang w:val="en-US"/>
              </w:rPr>
            </w:pPr>
            <w:r>
              <w:rPr>
                <w:rFonts w:ascii="Arial" w:hAnsi="Arial" w:cs="Arial"/>
                <w:b/>
                <w:bCs/>
                <w:sz w:val="24"/>
                <w:szCs w:val="24"/>
                <w:lang w:val="en-US"/>
              </w:rPr>
              <w:t>AC/25/20</w:t>
            </w:r>
          </w:p>
        </w:tc>
        <w:tc>
          <w:tcPr>
            <w:tcW w:w="7863" w:type="dxa"/>
            <w:gridSpan w:val="2"/>
            <w:tcBorders>
              <w:top w:val="nil"/>
              <w:left w:val="nil"/>
              <w:bottom w:val="nil"/>
              <w:right w:val="nil"/>
            </w:tcBorders>
            <w:shd w:val="clear" w:color="auto" w:fill="DBE5F1" w:themeFill="accent1" w:themeFillTint="33"/>
            <w:tcMar>
              <w:top w:w="80" w:type="dxa"/>
              <w:left w:w="80" w:type="dxa"/>
              <w:bottom w:w="80" w:type="dxa"/>
              <w:right w:w="80" w:type="dxa"/>
            </w:tcMar>
          </w:tcPr>
          <w:p w:rsidR="007B2E95" w:rsidRDefault="005308E6" w:rsidP="000555C1">
            <w:pPr>
              <w:pStyle w:val="Body"/>
              <w:spacing w:after="0" w:line="240" w:lineRule="auto"/>
              <w:rPr>
                <w:rFonts w:ascii="Arial" w:hAnsi="Arial" w:cs="Arial"/>
                <w:b/>
                <w:bCs/>
                <w:sz w:val="24"/>
                <w:szCs w:val="24"/>
                <w:lang w:val="en-US"/>
              </w:rPr>
            </w:pPr>
            <w:r>
              <w:rPr>
                <w:rFonts w:ascii="Arial" w:hAnsi="Arial" w:cs="Arial"/>
                <w:b/>
                <w:bCs/>
                <w:sz w:val="24"/>
                <w:szCs w:val="24"/>
                <w:lang w:val="en-US"/>
              </w:rPr>
              <w:t>Minutes</w:t>
            </w:r>
          </w:p>
        </w:tc>
      </w:tr>
      <w:tr w:rsidR="00E3348E" w:rsidTr="005673CB">
        <w:trPr>
          <w:trHeight w:val="1672"/>
        </w:trPr>
        <w:tc>
          <w:tcPr>
            <w:tcW w:w="9531" w:type="dxa"/>
            <w:gridSpan w:val="4"/>
            <w:tcBorders>
              <w:top w:val="nil"/>
              <w:left w:val="nil"/>
              <w:bottom w:val="nil"/>
              <w:right w:val="nil"/>
            </w:tcBorders>
            <w:shd w:val="clear" w:color="auto" w:fill="auto"/>
            <w:tcMar>
              <w:top w:w="80" w:type="dxa"/>
              <w:left w:w="80" w:type="dxa"/>
              <w:bottom w:w="80" w:type="dxa"/>
              <w:right w:w="80" w:type="dxa"/>
            </w:tcMar>
          </w:tcPr>
          <w:p w:rsidR="00E3348E" w:rsidRPr="00E3348E" w:rsidRDefault="00E3348E">
            <w:pPr>
              <w:pStyle w:val="Body"/>
              <w:spacing w:after="0" w:line="240" w:lineRule="auto"/>
              <w:rPr>
                <w:rFonts w:ascii="Arial" w:hAnsi="Arial" w:cs="Arial"/>
                <w:bCs/>
                <w:sz w:val="24"/>
                <w:szCs w:val="24"/>
                <w:lang w:val="en-US"/>
              </w:rPr>
            </w:pPr>
            <w:r w:rsidRPr="00E3348E">
              <w:rPr>
                <w:rFonts w:ascii="Arial" w:hAnsi="Arial" w:cs="Arial"/>
                <w:bCs/>
                <w:sz w:val="24"/>
                <w:szCs w:val="24"/>
                <w:lang w:val="en-US"/>
              </w:rPr>
              <w:t xml:space="preserve">Subject to the Director of Governance checking the attendance of the Vice Principal and adding as appropriate the minutes were agreed as an accurate record of the meeting held on 4 March 2020. </w:t>
            </w:r>
          </w:p>
          <w:p w:rsidR="00E3348E" w:rsidRPr="00E3348E" w:rsidRDefault="00E3348E">
            <w:pPr>
              <w:pStyle w:val="Body"/>
              <w:spacing w:after="0" w:line="240" w:lineRule="auto"/>
              <w:rPr>
                <w:rFonts w:ascii="Arial" w:hAnsi="Arial" w:cs="Arial"/>
                <w:bCs/>
                <w:sz w:val="24"/>
                <w:szCs w:val="24"/>
                <w:lang w:val="en-US"/>
              </w:rPr>
            </w:pPr>
          </w:p>
          <w:p w:rsidR="00E3348E" w:rsidRPr="00E3348E" w:rsidRDefault="00E3348E">
            <w:pPr>
              <w:pStyle w:val="Body"/>
              <w:spacing w:after="0" w:line="240" w:lineRule="auto"/>
              <w:rPr>
                <w:rFonts w:ascii="Arial" w:hAnsi="Arial" w:cs="Arial"/>
                <w:bCs/>
                <w:sz w:val="24"/>
                <w:szCs w:val="24"/>
                <w:lang w:val="en-US"/>
              </w:rPr>
            </w:pPr>
            <w:r w:rsidRPr="00E3348E">
              <w:rPr>
                <w:rFonts w:ascii="Arial" w:hAnsi="Arial" w:cs="Arial"/>
                <w:bCs/>
                <w:sz w:val="24"/>
                <w:szCs w:val="24"/>
                <w:lang w:val="en-US"/>
              </w:rPr>
              <w:t>Outstanding actions were discussed</w:t>
            </w:r>
            <w:r w:rsidR="0063273E">
              <w:rPr>
                <w:rFonts w:ascii="Arial" w:hAnsi="Arial" w:cs="Arial"/>
                <w:bCs/>
                <w:sz w:val="24"/>
                <w:szCs w:val="24"/>
                <w:lang w:val="en-US"/>
              </w:rPr>
              <w:t>:</w:t>
            </w:r>
          </w:p>
          <w:p w:rsidR="00E3348E" w:rsidRPr="00E3348E" w:rsidRDefault="00E3348E">
            <w:pPr>
              <w:pStyle w:val="Body"/>
              <w:spacing w:after="0" w:line="240" w:lineRule="auto"/>
              <w:rPr>
                <w:rFonts w:ascii="Arial" w:hAnsi="Arial" w:cs="Arial"/>
                <w:bCs/>
                <w:sz w:val="24"/>
                <w:szCs w:val="24"/>
                <w:lang w:val="en-US"/>
              </w:rPr>
            </w:pPr>
          </w:p>
          <w:p w:rsidR="00E3348E" w:rsidRPr="00E3348E" w:rsidRDefault="00E3348E">
            <w:pPr>
              <w:pStyle w:val="Body"/>
              <w:spacing w:after="0" w:line="240" w:lineRule="auto"/>
              <w:rPr>
                <w:rFonts w:ascii="Arial" w:hAnsi="Arial" w:cs="Arial"/>
                <w:bCs/>
                <w:sz w:val="24"/>
                <w:szCs w:val="24"/>
                <w:lang w:val="en-US"/>
              </w:rPr>
            </w:pPr>
            <w:r w:rsidRPr="00E3348E">
              <w:rPr>
                <w:rFonts w:ascii="Arial" w:hAnsi="Arial" w:cs="Arial"/>
                <w:bCs/>
                <w:sz w:val="24"/>
                <w:szCs w:val="24"/>
                <w:lang w:val="en-US"/>
              </w:rPr>
              <w:t xml:space="preserve">It was noted that the mock funding audit is in the 2020- 2021 plan. </w:t>
            </w:r>
          </w:p>
          <w:p w:rsidR="00E3348E" w:rsidRPr="00E3348E" w:rsidRDefault="00E3348E">
            <w:pPr>
              <w:pStyle w:val="Body"/>
              <w:spacing w:after="0" w:line="240" w:lineRule="auto"/>
              <w:rPr>
                <w:rFonts w:ascii="Arial" w:hAnsi="Arial" w:cs="Arial"/>
                <w:bCs/>
                <w:sz w:val="24"/>
                <w:szCs w:val="24"/>
                <w:lang w:val="en-US"/>
              </w:rPr>
            </w:pPr>
          </w:p>
          <w:p w:rsidR="00E3348E" w:rsidRPr="00E3348E" w:rsidRDefault="00E3348E">
            <w:pPr>
              <w:pStyle w:val="Body"/>
              <w:spacing w:after="0" w:line="240" w:lineRule="auto"/>
              <w:rPr>
                <w:rFonts w:ascii="Arial" w:hAnsi="Arial" w:cs="Arial"/>
                <w:bCs/>
                <w:sz w:val="24"/>
                <w:szCs w:val="24"/>
                <w:lang w:val="en-US"/>
              </w:rPr>
            </w:pPr>
            <w:r w:rsidRPr="00E3348E">
              <w:rPr>
                <w:rFonts w:ascii="Arial" w:hAnsi="Arial" w:cs="Arial"/>
                <w:bCs/>
                <w:sz w:val="24"/>
                <w:szCs w:val="24"/>
                <w:lang w:val="en-US"/>
              </w:rPr>
              <w:t xml:space="preserve">The reference to value for money was discussed. It was understood that the College is required to produce an HE </w:t>
            </w:r>
            <w:proofErr w:type="spellStart"/>
            <w:r w:rsidRPr="00E3348E">
              <w:rPr>
                <w:rFonts w:ascii="Arial" w:hAnsi="Arial" w:cs="Arial"/>
                <w:bCs/>
                <w:sz w:val="24"/>
                <w:szCs w:val="24"/>
                <w:lang w:val="en-US"/>
              </w:rPr>
              <w:t>VfM</w:t>
            </w:r>
            <w:proofErr w:type="spellEnd"/>
            <w:r w:rsidRPr="00E3348E">
              <w:rPr>
                <w:rFonts w:ascii="Arial" w:hAnsi="Arial" w:cs="Arial"/>
                <w:bCs/>
                <w:sz w:val="24"/>
                <w:szCs w:val="24"/>
                <w:lang w:val="en-US"/>
              </w:rPr>
              <w:t xml:space="preserve"> statement and the action will remain on the log with a view sought from the Director of HE in due course.</w:t>
            </w:r>
          </w:p>
          <w:p w:rsidR="00E3348E" w:rsidRPr="00E3348E" w:rsidRDefault="00E3348E">
            <w:pPr>
              <w:pStyle w:val="Body"/>
              <w:spacing w:after="0" w:line="240" w:lineRule="auto"/>
              <w:rPr>
                <w:rFonts w:ascii="Arial" w:hAnsi="Arial" w:cs="Arial"/>
                <w:bCs/>
                <w:sz w:val="24"/>
                <w:szCs w:val="24"/>
                <w:lang w:val="en-US"/>
              </w:rPr>
            </w:pPr>
          </w:p>
          <w:p w:rsidR="00E3348E" w:rsidRPr="00E3348E" w:rsidRDefault="00E3348E">
            <w:pPr>
              <w:pStyle w:val="Body"/>
              <w:spacing w:after="0" w:line="240" w:lineRule="auto"/>
              <w:rPr>
                <w:rFonts w:ascii="Arial" w:hAnsi="Arial" w:cs="Arial"/>
                <w:bCs/>
                <w:sz w:val="24"/>
                <w:szCs w:val="24"/>
                <w:lang w:val="en-US"/>
              </w:rPr>
            </w:pPr>
            <w:r w:rsidRPr="00E3348E">
              <w:rPr>
                <w:rFonts w:ascii="Arial" w:hAnsi="Arial" w:cs="Arial"/>
                <w:bCs/>
                <w:sz w:val="24"/>
                <w:szCs w:val="24"/>
                <w:lang w:val="en-US"/>
              </w:rPr>
              <w:lastRenderedPageBreak/>
              <w:t>The Director of Governance has spoken to the Executive Director of HR and training for line managers on whistleblowing is being taken forward.</w:t>
            </w:r>
          </w:p>
          <w:p w:rsidR="00E3348E" w:rsidRPr="00E3348E" w:rsidRDefault="00E3348E">
            <w:pPr>
              <w:pStyle w:val="Body"/>
              <w:spacing w:after="0" w:line="240" w:lineRule="auto"/>
              <w:rPr>
                <w:rFonts w:ascii="Arial" w:hAnsi="Arial" w:cs="Arial"/>
                <w:bCs/>
                <w:sz w:val="24"/>
                <w:szCs w:val="24"/>
                <w:lang w:val="en-US"/>
              </w:rPr>
            </w:pPr>
          </w:p>
          <w:p w:rsidR="00E3348E" w:rsidRPr="005D41E5" w:rsidRDefault="00E3348E" w:rsidP="00E3348E">
            <w:pPr>
              <w:pStyle w:val="Body"/>
              <w:spacing w:after="0" w:line="240" w:lineRule="auto"/>
              <w:rPr>
                <w:rFonts w:ascii="Arial" w:hAnsi="Arial" w:cs="Arial"/>
                <w:b/>
                <w:bCs/>
                <w:sz w:val="24"/>
                <w:szCs w:val="24"/>
                <w:lang w:val="en-US"/>
              </w:rPr>
            </w:pPr>
            <w:r w:rsidRPr="00E3348E">
              <w:rPr>
                <w:rFonts w:ascii="Arial" w:hAnsi="Arial" w:cs="Arial"/>
                <w:bCs/>
                <w:sz w:val="24"/>
                <w:szCs w:val="24"/>
                <w:lang w:val="en-US"/>
              </w:rPr>
              <w:t>The Executive Director of Finance will speak to the Director of Estates &amp; Facilities to ensure the relevant environmental impact analysis is carried out when reviewing policies.</w:t>
            </w:r>
            <w:r>
              <w:rPr>
                <w:rFonts w:ascii="Arial" w:hAnsi="Arial" w:cs="Arial"/>
                <w:b/>
                <w:bCs/>
                <w:sz w:val="24"/>
                <w:szCs w:val="24"/>
                <w:lang w:val="en-US"/>
              </w:rPr>
              <w:t xml:space="preserve"> </w:t>
            </w:r>
          </w:p>
        </w:tc>
      </w:tr>
    </w:tbl>
    <w:p w:rsidR="00122D01" w:rsidRDefault="00122D01" w:rsidP="00FF4B28">
      <w:pPr>
        <w:pStyle w:val="Body"/>
      </w:pPr>
    </w:p>
    <w:sectPr w:rsidR="00122D01">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33B" w:rsidRDefault="0004033B">
      <w:r>
        <w:separator/>
      </w:r>
    </w:p>
  </w:endnote>
  <w:endnote w:type="continuationSeparator" w:id="0">
    <w:p w:rsidR="0004033B" w:rsidRDefault="0004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FE9" w:rsidRDefault="00EA7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791" w:rsidRPr="00E50791" w:rsidRDefault="00957261" w:rsidP="00E50791">
    <w:pPr>
      <w:pStyle w:val="Footer"/>
      <w:jc w:val="right"/>
      <w:rPr>
        <w:rFonts w:ascii="Arial" w:hAnsi="Arial" w:cs="Arial"/>
        <w:sz w:val="22"/>
        <w:szCs w:val="22"/>
      </w:rPr>
    </w:pPr>
    <w:r>
      <w:rPr>
        <w:rFonts w:ascii="Arial" w:hAnsi="Arial" w:cs="Arial"/>
        <w:sz w:val="22"/>
        <w:szCs w:val="22"/>
      </w:rPr>
      <w:t xml:space="preserve">Chair approved </w:t>
    </w:r>
    <w:r w:rsidR="00EA7FE9">
      <w:rPr>
        <w:rFonts w:ascii="Arial" w:hAnsi="Arial" w:cs="Arial"/>
        <w:sz w:val="22"/>
        <w:szCs w:val="22"/>
      </w:rPr>
      <w:t>29 June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FE9" w:rsidRDefault="00EA7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33B" w:rsidRDefault="0004033B">
      <w:r>
        <w:separator/>
      </w:r>
    </w:p>
  </w:footnote>
  <w:footnote w:type="continuationSeparator" w:id="0">
    <w:p w:rsidR="0004033B" w:rsidRDefault="00040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FE9" w:rsidRDefault="00EA7F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30D" w:rsidRDefault="0071730D">
    <w:pPr>
      <w:pStyle w:val="Header"/>
      <w:tabs>
        <w:tab w:val="clear" w:pos="9026"/>
        <w:tab w:val="right" w:pos="9000"/>
      </w:tabs>
    </w:pPr>
    <w:r>
      <w:rPr>
        <w:noProof/>
        <w:lang w:val="en-GB"/>
      </w:rPr>
      <w:drawing>
        <wp:anchor distT="152400" distB="152400" distL="152400" distR="152400" simplePos="0" relativeHeight="251658240" behindDoc="1" locked="0" layoutInCell="1" allowOverlap="1">
          <wp:simplePos x="0" y="0"/>
          <wp:positionH relativeFrom="page">
            <wp:posOffset>279400</wp:posOffset>
          </wp:positionH>
          <wp:positionV relativeFrom="page">
            <wp:posOffset>118745</wp:posOffset>
          </wp:positionV>
          <wp:extent cx="1371600" cy="804545"/>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1371600" cy="804545"/>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FE9" w:rsidRDefault="00EA7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261A"/>
    <w:multiLevelType w:val="hybridMultilevel"/>
    <w:tmpl w:val="8D02282E"/>
    <w:lvl w:ilvl="0" w:tplc="DF0A0F0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F751A"/>
    <w:multiLevelType w:val="hybridMultilevel"/>
    <w:tmpl w:val="5D02AD50"/>
    <w:lvl w:ilvl="0" w:tplc="7F66CC6C">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5C355E">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6A83FE">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6C22C8">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70F26A">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20D63E">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E244CA">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24A23A">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3284F0">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4C57316"/>
    <w:multiLevelType w:val="hybridMultilevel"/>
    <w:tmpl w:val="C31C9266"/>
    <w:lvl w:ilvl="0" w:tplc="D9288DD0">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903F7E">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40C4B8">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7277DC">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BAB874">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DE6194">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A61842">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5A7B60">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6EFAB4">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0457F69"/>
    <w:multiLevelType w:val="hybridMultilevel"/>
    <w:tmpl w:val="55309124"/>
    <w:lvl w:ilvl="0" w:tplc="A9CED93A">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9AE140">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F649E4">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B6E00E">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32727E">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74D4C2">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16FCBC">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E0CB7A">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BC62A4">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D9A6B2B"/>
    <w:multiLevelType w:val="hybridMultilevel"/>
    <w:tmpl w:val="C3FC2CD8"/>
    <w:lvl w:ilvl="0" w:tplc="A716A23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A93C16"/>
    <w:multiLevelType w:val="hybridMultilevel"/>
    <w:tmpl w:val="B436EC26"/>
    <w:lvl w:ilvl="0" w:tplc="EE56D9B6">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0A93D4">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A8EE7C">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4C5DD6">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F63944">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F43848">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C805E0">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EC6FFA">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642C48">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C7409B2"/>
    <w:multiLevelType w:val="hybridMultilevel"/>
    <w:tmpl w:val="2B48D546"/>
    <w:lvl w:ilvl="0" w:tplc="9110BE44">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8ACDA2">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F8A1DC">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B88156">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D0383A">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9A632A">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3204D0">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E2FE7C">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2E0C58">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DA76562"/>
    <w:multiLevelType w:val="hybridMultilevel"/>
    <w:tmpl w:val="5588C116"/>
    <w:lvl w:ilvl="0" w:tplc="55921CC0">
      <w:start w:val="2"/>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4B6086"/>
    <w:multiLevelType w:val="hybridMultilevel"/>
    <w:tmpl w:val="F9DAD0F8"/>
    <w:lvl w:ilvl="0" w:tplc="3B1C1DEA">
      <w:numFmt w:val="bullet"/>
      <w:lvlText w:val="-"/>
      <w:lvlJc w:val="left"/>
      <w:pPr>
        <w:ind w:left="1353" w:hanging="360"/>
      </w:pPr>
      <w:rPr>
        <w:rFonts w:ascii="Arial" w:eastAsia="Calibri" w:hAnsi="Aria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721E3D3D"/>
    <w:multiLevelType w:val="hybridMultilevel"/>
    <w:tmpl w:val="00F88C34"/>
    <w:lvl w:ilvl="0" w:tplc="3FCCD04E">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4660A8">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865AB2">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CCBBCA">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845F9A">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24C0B8">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4059B0">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14082E">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B0C80C">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F924FCA"/>
    <w:multiLevelType w:val="hybridMultilevel"/>
    <w:tmpl w:val="7BE8FD16"/>
    <w:lvl w:ilvl="0" w:tplc="F2F0803E">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541AB8">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385EDE">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9C2BC8">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BA613E">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327802">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E95F4">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0E12DA">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98B80C">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9"/>
  </w:num>
  <w:num w:numId="3">
    <w:abstractNumId w:val="10"/>
  </w:num>
  <w:num w:numId="4">
    <w:abstractNumId w:val="1"/>
  </w:num>
  <w:num w:numId="5">
    <w:abstractNumId w:val="3"/>
  </w:num>
  <w:num w:numId="6">
    <w:abstractNumId w:val="5"/>
  </w:num>
  <w:num w:numId="7">
    <w:abstractNumId w:val="2"/>
  </w:num>
  <w:num w:numId="8">
    <w:abstractNumId w:val="0"/>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D01"/>
    <w:rsid w:val="000128BC"/>
    <w:rsid w:val="00014CBD"/>
    <w:rsid w:val="00017A57"/>
    <w:rsid w:val="000352A6"/>
    <w:rsid w:val="0004033B"/>
    <w:rsid w:val="000555C1"/>
    <w:rsid w:val="00055A57"/>
    <w:rsid w:val="00055F7E"/>
    <w:rsid w:val="0008596C"/>
    <w:rsid w:val="000907B6"/>
    <w:rsid w:val="00095F9D"/>
    <w:rsid w:val="00097A2B"/>
    <w:rsid w:val="000A0AE2"/>
    <w:rsid w:val="000A6F8C"/>
    <w:rsid w:val="000C0DC9"/>
    <w:rsid w:val="00102B7E"/>
    <w:rsid w:val="00103136"/>
    <w:rsid w:val="00107120"/>
    <w:rsid w:val="00122D01"/>
    <w:rsid w:val="00127E3C"/>
    <w:rsid w:val="0014193A"/>
    <w:rsid w:val="00167157"/>
    <w:rsid w:val="00171FA8"/>
    <w:rsid w:val="00182BE2"/>
    <w:rsid w:val="001B6D39"/>
    <w:rsid w:val="001B7429"/>
    <w:rsid w:val="001C0D58"/>
    <w:rsid w:val="001D4F11"/>
    <w:rsid w:val="001E0A97"/>
    <w:rsid w:val="001E2323"/>
    <w:rsid w:val="001E3053"/>
    <w:rsid w:val="001E6CA8"/>
    <w:rsid w:val="001F6F60"/>
    <w:rsid w:val="0020552F"/>
    <w:rsid w:val="0021199F"/>
    <w:rsid w:val="00226358"/>
    <w:rsid w:val="0025745E"/>
    <w:rsid w:val="00271F5C"/>
    <w:rsid w:val="0027326B"/>
    <w:rsid w:val="00297E89"/>
    <w:rsid w:val="002B4E32"/>
    <w:rsid w:val="002B6F49"/>
    <w:rsid w:val="002D081B"/>
    <w:rsid w:val="002D23F4"/>
    <w:rsid w:val="002D57FB"/>
    <w:rsid w:val="002E6EC2"/>
    <w:rsid w:val="002F2E84"/>
    <w:rsid w:val="00304E01"/>
    <w:rsid w:val="00307BBF"/>
    <w:rsid w:val="00317FC8"/>
    <w:rsid w:val="00322F1D"/>
    <w:rsid w:val="003344D4"/>
    <w:rsid w:val="00334C0D"/>
    <w:rsid w:val="003471E3"/>
    <w:rsid w:val="00352475"/>
    <w:rsid w:val="00361035"/>
    <w:rsid w:val="003664D9"/>
    <w:rsid w:val="00396EAC"/>
    <w:rsid w:val="003A3C94"/>
    <w:rsid w:val="003A72AD"/>
    <w:rsid w:val="003A7A70"/>
    <w:rsid w:val="003B4BFE"/>
    <w:rsid w:val="003B5952"/>
    <w:rsid w:val="003B6501"/>
    <w:rsid w:val="003C4FF4"/>
    <w:rsid w:val="003C73A5"/>
    <w:rsid w:val="003E3FE4"/>
    <w:rsid w:val="00402EBD"/>
    <w:rsid w:val="0041244A"/>
    <w:rsid w:val="004253A1"/>
    <w:rsid w:val="00432911"/>
    <w:rsid w:val="00435DED"/>
    <w:rsid w:val="004405E3"/>
    <w:rsid w:val="0045380F"/>
    <w:rsid w:val="00471790"/>
    <w:rsid w:val="00487A9B"/>
    <w:rsid w:val="0049203D"/>
    <w:rsid w:val="00494776"/>
    <w:rsid w:val="004A2B1D"/>
    <w:rsid w:val="004A40A6"/>
    <w:rsid w:val="004C5836"/>
    <w:rsid w:val="004D0884"/>
    <w:rsid w:val="004F15C3"/>
    <w:rsid w:val="004F4E30"/>
    <w:rsid w:val="0050096D"/>
    <w:rsid w:val="005057EE"/>
    <w:rsid w:val="00507B1D"/>
    <w:rsid w:val="0052761A"/>
    <w:rsid w:val="005308E6"/>
    <w:rsid w:val="00535E70"/>
    <w:rsid w:val="00541E8D"/>
    <w:rsid w:val="00547C26"/>
    <w:rsid w:val="005560B8"/>
    <w:rsid w:val="005575DE"/>
    <w:rsid w:val="005615C7"/>
    <w:rsid w:val="005913E4"/>
    <w:rsid w:val="005A0A28"/>
    <w:rsid w:val="005A6A3A"/>
    <w:rsid w:val="005C4439"/>
    <w:rsid w:val="005C7F63"/>
    <w:rsid w:val="005D0F90"/>
    <w:rsid w:val="005D41E5"/>
    <w:rsid w:val="005E047E"/>
    <w:rsid w:val="005E6618"/>
    <w:rsid w:val="005E69F0"/>
    <w:rsid w:val="005F44B9"/>
    <w:rsid w:val="00605B27"/>
    <w:rsid w:val="00607078"/>
    <w:rsid w:val="0061131D"/>
    <w:rsid w:val="006143B0"/>
    <w:rsid w:val="00616F3E"/>
    <w:rsid w:val="00620B62"/>
    <w:rsid w:val="00631A16"/>
    <w:rsid w:val="0063273E"/>
    <w:rsid w:val="00642B04"/>
    <w:rsid w:val="0064688C"/>
    <w:rsid w:val="00661E5B"/>
    <w:rsid w:val="00663C6C"/>
    <w:rsid w:val="006822E4"/>
    <w:rsid w:val="00682AC9"/>
    <w:rsid w:val="00687787"/>
    <w:rsid w:val="006964AB"/>
    <w:rsid w:val="006A41E1"/>
    <w:rsid w:val="006B5934"/>
    <w:rsid w:val="006C7DF3"/>
    <w:rsid w:val="006D3CED"/>
    <w:rsid w:val="006E1E47"/>
    <w:rsid w:val="006E319C"/>
    <w:rsid w:val="006F112A"/>
    <w:rsid w:val="007117B8"/>
    <w:rsid w:val="00711B58"/>
    <w:rsid w:val="0071565F"/>
    <w:rsid w:val="0071730D"/>
    <w:rsid w:val="007247AA"/>
    <w:rsid w:val="00727FD0"/>
    <w:rsid w:val="00736AC7"/>
    <w:rsid w:val="00763E49"/>
    <w:rsid w:val="00773C80"/>
    <w:rsid w:val="00775487"/>
    <w:rsid w:val="007831D0"/>
    <w:rsid w:val="00783B6E"/>
    <w:rsid w:val="00785EC7"/>
    <w:rsid w:val="007913AC"/>
    <w:rsid w:val="0079561E"/>
    <w:rsid w:val="0079658B"/>
    <w:rsid w:val="007B048C"/>
    <w:rsid w:val="007B2E95"/>
    <w:rsid w:val="007C5089"/>
    <w:rsid w:val="007D2688"/>
    <w:rsid w:val="007D3BDB"/>
    <w:rsid w:val="007D61AA"/>
    <w:rsid w:val="007E286F"/>
    <w:rsid w:val="007E551C"/>
    <w:rsid w:val="007F4333"/>
    <w:rsid w:val="007F6BBF"/>
    <w:rsid w:val="008033EC"/>
    <w:rsid w:val="00803AA8"/>
    <w:rsid w:val="008265BB"/>
    <w:rsid w:val="008449D0"/>
    <w:rsid w:val="00853557"/>
    <w:rsid w:val="0085651D"/>
    <w:rsid w:val="00863888"/>
    <w:rsid w:val="008716FE"/>
    <w:rsid w:val="00871FBA"/>
    <w:rsid w:val="0089612E"/>
    <w:rsid w:val="008A0978"/>
    <w:rsid w:val="008D4326"/>
    <w:rsid w:val="008D5152"/>
    <w:rsid w:val="008D5C72"/>
    <w:rsid w:val="008E1C13"/>
    <w:rsid w:val="0090330C"/>
    <w:rsid w:val="00922705"/>
    <w:rsid w:val="00925DA5"/>
    <w:rsid w:val="00931792"/>
    <w:rsid w:val="009378AC"/>
    <w:rsid w:val="00947BF3"/>
    <w:rsid w:val="00951797"/>
    <w:rsid w:val="00957261"/>
    <w:rsid w:val="00961F00"/>
    <w:rsid w:val="00972BFC"/>
    <w:rsid w:val="0097577A"/>
    <w:rsid w:val="00976652"/>
    <w:rsid w:val="00996D7B"/>
    <w:rsid w:val="009A2422"/>
    <w:rsid w:val="009A5D88"/>
    <w:rsid w:val="009B3935"/>
    <w:rsid w:val="009C352D"/>
    <w:rsid w:val="009D73BB"/>
    <w:rsid w:val="009F3A19"/>
    <w:rsid w:val="00A077DF"/>
    <w:rsid w:val="00A11283"/>
    <w:rsid w:val="00A15636"/>
    <w:rsid w:val="00A3026A"/>
    <w:rsid w:val="00A31BA2"/>
    <w:rsid w:val="00A703FA"/>
    <w:rsid w:val="00A826D8"/>
    <w:rsid w:val="00A92121"/>
    <w:rsid w:val="00AA3B4E"/>
    <w:rsid w:val="00AC6CA5"/>
    <w:rsid w:val="00AE24E8"/>
    <w:rsid w:val="00AF138A"/>
    <w:rsid w:val="00AF4E4A"/>
    <w:rsid w:val="00B01003"/>
    <w:rsid w:val="00B20B69"/>
    <w:rsid w:val="00B23077"/>
    <w:rsid w:val="00B2668B"/>
    <w:rsid w:val="00B6118F"/>
    <w:rsid w:val="00B653EA"/>
    <w:rsid w:val="00B74B56"/>
    <w:rsid w:val="00B834D3"/>
    <w:rsid w:val="00BA3681"/>
    <w:rsid w:val="00BA62A9"/>
    <w:rsid w:val="00BB10A4"/>
    <w:rsid w:val="00BC36F2"/>
    <w:rsid w:val="00C03EF8"/>
    <w:rsid w:val="00C16265"/>
    <w:rsid w:val="00C24DCE"/>
    <w:rsid w:val="00C507E7"/>
    <w:rsid w:val="00C527D2"/>
    <w:rsid w:val="00C83A3E"/>
    <w:rsid w:val="00C83CC3"/>
    <w:rsid w:val="00C8716F"/>
    <w:rsid w:val="00C87BAE"/>
    <w:rsid w:val="00C90674"/>
    <w:rsid w:val="00C93534"/>
    <w:rsid w:val="00CF3063"/>
    <w:rsid w:val="00CF4488"/>
    <w:rsid w:val="00D048B7"/>
    <w:rsid w:val="00D07AAC"/>
    <w:rsid w:val="00D14371"/>
    <w:rsid w:val="00D25094"/>
    <w:rsid w:val="00D57D79"/>
    <w:rsid w:val="00D90E6A"/>
    <w:rsid w:val="00DA2534"/>
    <w:rsid w:val="00DA42CC"/>
    <w:rsid w:val="00DB072C"/>
    <w:rsid w:val="00DD35CD"/>
    <w:rsid w:val="00DE66BC"/>
    <w:rsid w:val="00DF226F"/>
    <w:rsid w:val="00DF5FAB"/>
    <w:rsid w:val="00E30C8C"/>
    <w:rsid w:val="00E3348E"/>
    <w:rsid w:val="00E34E8E"/>
    <w:rsid w:val="00E4114F"/>
    <w:rsid w:val="00E50791"/>
    <w:rsid w:val="00E50895"/>
    <w:rsid w:val="00E5226A"/>
    <w:rsid w:val="00E7297D"/>
    <w:rsid w:val="00E83C5C"/>
    <w:rsid w:val="00E93B95"/>
    <w:rsid w:val="00E957D1"/>
    <w:rsid w:val="00E97237"/>
    <w:rsid w:val="00EA2A54"/>
    <w:rsid w:val="00EA7FE9"/>
    <w:rsid w:val="00EB1BC4"/>
    <w:rsid w:val="00EC76F9"/>
    <w:rsid w:val="00ED4E39"/>
    <w:rsid w:val="00EE4DDB"/>
    <w:rsid w:val="00EF187C"/>
    <w:rsid w:val="00F10642"/>
    <w:rsid w:val="00F17600"/>
    <w:rsid w:val="00F17C5B"/>
    <w:rsid w:val="00F46323"/>
    <w:rsid w:val="00F5776E"/>
    <w:rsid w:val="00F657F6"/>
    <w:rsid w:val="00F805C2"/>
    <w:rsid w:val="00F9596F"/>
    <w:rsid w:val="00F967B9"/>
    <w:rsid w:val="00FA3A6B"/>
    <w:rsid w:val="00FA5A20"/>
    <w:rsid w:val="00FA6236"/>
    <w:rsid w:val="00FA62EE"/>
    <w:rsid w:val="00FB5094"/>
    <w:rsid w:val="00FD2088"/>
    <w:rsid w:val="00FE7131"/>
    <w:rsid w:val="00FF4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7865C8"/>
  <w15:docId w15:val="{1845B3BF-8201-46A3-A043-B377C4D3B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outlineLvl w:val="1"/>
    </w:pPr>
    <w:rPr>
      <w:rFonts w:cs="Arial Unicode MS"/>
      <w:b/>
      <w:bCs/>
      <w:color w:val="000000"/>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rPr>
      <w:rFonts w:cs="Arial Unicode MS"/>
      <w:b/>
      <w:bCs/>
      <w:color w:val="000000"/>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paragraph" w:styleId="Footer">
    <w:name w:val="footer"/>
    <w:basedOn w:val="Normal"/>
    <w:link w:val="FooterChar"/>
    <w:uiPriority w:val="99"/>
    <w:unhideWhenUsed/>
    <w:rsid w:val="00FF4B28"/>
    <w:pPr>
      <w:tabs>
        <w:tab w:val="center" w:pos="4513"/>
        <w:tab w:val="right" w:pos="9026"/>
      </w:tabs>
    </w:pPr>
  </w:style>
  <w:style w:type="character" w:customStyle="1" w:styleId="FooterChar">
    <w:name w:val="Footer Char"/>
    <w:basedOn w:val="DefaultParagraphFont"/>
    <w:link w:val="Footer"/>
    <w:uiPriority w:val="99"/>
    <w:rsid w:val="00FF4B2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248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 Rachel</dc:creator>
  <cp:lastModifiedBy>Nicol, Rachel</cp:lastModifiedBy>
  <cp:revision>3</cp:revision>
  <dcterms:created xsi:type="dcterms:W3CDTF">2020-10-04T09:55:00Z</dcterms:created>
  <dcterms:modified xsi:type="dcterms:W3CDTF">2020-10-04T10:46:00Z</dcterms:modified>
</cp:coreProperties>
</file>